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5BE5B" w14:textId="77777777" w:rsidR="00047EA6" w:rsidRPr="00A84443" w:rsidRDefault="00387B35">
      <w:pPr>
        <w:pStyle w:val="BodyText"/>
        <w:ind w:left="7707"/>
        <w:rPr>
          <w:rFonts w:ascii="Times New Roman"/>
          <w:sz w:val="20"/>
          <w:lang w:val="sr-Latn-RS"/>
        </w:rPr>
      </w:pPr>
      <w:bookmarkStart w:id="0" w:name="_GoBack"/>
      <w:bookmarkEnd w:id="0"/>
      <w:r w:rsidRPr="00A84443">
        <w:rPr>
          <w:rFonts w:ascii="Times New Roman"/>
          <w:noProof/>
          <w:sz w:val="20"/>
          <w:lang w:val="bs-Latn-BA" w:eastAsia="bs-Latn-BA" w:bidi="ar-SA"/>
        </w:rPr>
        <w:drawing>
          <wp:inline distT="0" distB="0" distL="0" distR="0" wp14:anchorId="242B9EDA" wp14:editId="3879D96D">
            <wp:extent cx="1523984" cy="1176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84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48AB1" w14:textId="77777777" w:rsidR="00047EA6" w:rsidRPr="00A84443" w:rsidRDefault="00047EA6">
      <w:pPr>
        <w:pStyle w:val="BodyText"/>
        <w:rPr>
          <w:rFonts w:ascii="Times New Roman"/>
          <w:sz w:val="20"/>
          <w:lang w:val="sr-Latn-RS"/>
        </w:rPr>
      </w:pPr>
    </w:p>
    <w:p w14:paraId="1EA975C7" w14:textId="77777777" w:rsidR="00047EA6" w:rsidRPr="00A84443" w:rsidRDefault="00047EA6">
      <w:pPr>
        <w:pStyle w:val="BodyText"/>
        <w:rPr>
          <w:rFonts w:ascii="Times New Roman"/>
          <w:sz w:val="20"/>
          <w:lang w:val="sr-Latn-RS"/>
        </w:rPr>
      </w:pPr>
    </w:p>
    <w:p w14:paraId="66182616" w14:textId="77777777" w:rsidR="00047EA6" w:rsidRPr="00A84443" w:rsidRDefault="00047EA6">
      <w:pPr>
        <w:pStyle w:val="BodyText"/>
        <w:rPr>
          <w:rFonts w:ascii="Times New Roman"/>
          <w:sz w:val="20"/>
          <w:lang w:val="sr-Latn-RS"/>
        </w:rPr>
      </w:pPr>
    </w:p>
    <w:p w14:paraId="477A0F2E" w14:textId="77777777" w:rsidR="00047EA6" w:rsidRPr="00A84443" w:rsidRDefault="00047EA6">
      <w:pPr>
        <w:pStyle w:val="BodyText"/>
        <w:spacing w:before="4"/>
        <w:rPr>
          <w:rFonts w:ascii="Times New Roman"/>
          <w:sz w:val="28"/>
          <w:lang w:val="sr-Latn-RS"/>
        </w:rPr>
      </w:pPr>
    </w:p>
    <w:p w14:paraId="30A534D9" w14:textId="77777777" w:rsidR="00047EA6" w:rsidRPr="00A84443" w:rsidRDefault="00387B35">
      <w:pPr>
        <w:pStyle w:val="Heading1"/>
        <w:rPr>
          <w:lang w:val="sr-Latn-RS"/>
        </w:rPr>
      </w:pPr>
      <w:r w:rsidRPr="00A84443">
        <w:rPr>
          <w:lang w:val="sr-Latn-RS"/>
        </w:rPr>
        <w:t>Informati</w:t>
      </w:r>
      <w:r w:rsidR="000B0227" w:rsidRPr="00A84443">
        <w:rPr>
          <w:lang w:val="sr-Latn-RS"/>
        </w:rPr>
        <w:t>vni dokumenti</w:t>
      </w:r>
    </w:p>
    <w:p w14:paraId="4CE93A34" w14:textId="77777777" w:rsidR="00047EA6" w:rsidRPr="00A84443" w:rsidRDefault="00047EA6">
      <w:pPr>
        <w:pStyle w:val="BodyText"/>
        <w:rPr>
          <w:b/>
          <w:sz w:val="32"/>
          <w:lang w:val="sr-Latn-RS"/>
        </w:rPr>
      </w:pPr>
    </w:p>
    <w:p w14:paraId="2A6AC0C6" w14:textId="77777777" w:rsidR="00047EA6" w:rsidRPr="00A84443" w:rsidRDefault="00387B35">
      <w:pPr>
        <w:ind w:left="117"/>
        <w:rPr>
          <w:b/>
          <w:sz w:val="28"/>
          <w:lang w:val="sr-Latn-RS"/>
        </w:rPr>
      </w:pPr>
      <w:r w:rsidRPr="00A84443">
        <w:rPr>
          <w:b/>
          <w:sz w:val="28"/>
          <w:lang w:val="sr-Latn-RS"/>
        </w:rPr>
        <w:t>SG/Inf(2020)11</w:t>
      </w:r>
    </w:p>
    <w:p w14:paraId="5C722446" w14:textId="77777777" w:rsidR="00047EA6" w:rsidRPr="00A84443" w:rsidRDefault="00047EA6">
      <w:pPr>
        <w:pStyle w:val="BodyText"/>
        <w:spacing w:before="1"/>
        <w:rPr>
          <w:b/>
          <w:sz w:val="20"/>
          <w:lang w:val="sr-Latn-RS"/>
        </w:rPr>
      </w:pPr>
    </w:p>
    <w:p w14:paraId="21E6820D" w14:textId="77777777" w:rsidR="00047EA6" w:rsidRPr="00A84443" w:rsidRDefault="00387B35">
      <w:pPr>
        <w:spacing w:before="92"/>
        <w:ind w:right="416"/>
        <w:jc w:val="right"/>
        <w:rPr>
          <w:sz w:val="24"/>
          <w:lang w:val="sr-Latn-RS"/>
        </w:rPr>
      </w:pPr>
      <w:r w:rsidRPr="00A84443">
        <w:rPr>
          <w:sz w:val="24"/>
          <w:lang w:val="sr-Latn-RS"/>
        </w:rPr>
        <w:t>7</w:t>
      </w:r>
      <w:r w:rsidR="000B0227" w:rsidRPr="00A84443">
        <w:rPr>
          <w:sz w:val="24"/>
          <w:lang w:val="sr-Latn-RS"/>
        </w:rPr>
        <w:t xml:space="preserve">. april </w:t>
      </w:r>
      <w:r w:rsidRPr="00A84443">
        <w:rPr>
          <w:sz w:val="24"/>
          <w:lang w:val="sr-Latn-RS"/>
        </w:rPr>
        <w:t>2020</w:t>
      </w:r>
      <w:r w:rsidR="000B0227" w:rsidRPr="00A84443">
        <w:rPr>
          <w:sz w:val="24"/>
          <w:lang w:val="sr-Latn-RS"/>
        </w:rPr>
        <w:t>.</w:t>
      </w:r>
    </w:p>
    <w:p w14:paraId="2317E06D" w14:textId="77777777" w:rsidR="00047EA6" w:rsidRPr="00A84443" w:rsidRDefault="00305E5A">
      <w:pPr>
        <w:pStyle w:val="BodyText"/>
        <w:rPr>
          <w:sz w:val="19"/>
          <w:lang w:val="sr-Latn-RS"/>
        </w:rPr>
      </w:pPr>
      <w:r w:rsidRPr="00A84443">
        <w:rPr>
          <w:noProof/>
          <w:lang w:val="bs-Latn-BA" w:eastAsia="bs-Latn-BA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970855" wp14:editId="7E2787A2">
                <wp:simplePos x="0" y="0"/>
                <wp:positionH relativeFrom="page">
                  <wp:posOffset>684530</wp:posOffset>
                </wp:positionH>
                <wp:positionV relativeFrom="paragraph">
                  <wp:posOffset>168910</wp:posOffset>
                </wp:positionV>
                <wp:extent cx="6096000" cy="0"/>
                <wp:effectExtent l="0" t="0" r="0" b="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E65D7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3.3pt" to="533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gAHgIAAEMEAAAOAAAAZHJzL2Uyb0RvYy54bWysU8GO2jAQvVfqP1i+QxKa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14:paraId="660975CF" w14:textId="77777777" w:rsidR="00047EA6" w:rsidRPr="00A84443" w:rsidRDefault="00047EA6">
      <w:pPr>
        <w:pStyle w:val="BodyText"/>
        <w:rPr>
          <w:lang w:val="sr-Latn-RS"/>
        </w:rPr>
      </w:pPr>
    </w:p>
    <w:p w14:paraId="13F97998" w14:textId="731F53E9" w:rsidR="00047EA6" w:rsidRPr="00A84443" w:rsidRDefault="000B0227">
      <w:pPr>
        <w:pStyle w:val="Heading1"/>
        <w:ind w:right="2035"/>
        <w:rPr>
          <w:lang w:val="sr-Latn-RS"/>
        </w:rPr>
      </w:pPr>
      <w:r w:rsidRPr="00A84443">
        <w:rPr>
          <w:lang w:val="sr-Latn-RS"/>
        </w:rPr>
        <w:t xml:space="preserve">Poštovanje demokratije, vladavine </w:t>
      </w:r>
      <w:r w:rsidR="00CA57FA">
        <w:rPr>
          <w:lang w:val="sr-Latn-RS"/>
        </w:rPr>
        <w:t>zakona</w:t>
      </w:r>
      <w:r w:rsidRPr="00A84443">
        <w:rPr>
          <w:lang w:val="sr-Latn-RS"/>
        </w:rPr>
        <w:t xml:space="preserve"> i ljudskih prava u kontekstu zdravstvene krize izazvane </w:t>
      </w:r>
      <w:r w:rsidR="00387B35" w:rsidRPr="00A84443">
        <w:rPr>
          <w:lang w:val="sr-Latn-RS"/>
        </w:rPr>
        <w:t>COVID-</w:t>
      </w:r>
      <w:r w:rsidRPr="00A84443">
        <w:rPr>
          <w:lang w:val="sr-Latn-RS"/>
        </w:rPr>
        <w:t xml:space="preserve">om </w:t>
      </w:r>
      <w:r w:rsidR="00387B35" w:rsidRPr="00A84443">
        <w:rPr>
          <w:lang w:val="sr-Latn-RS"/>
        </w:rPr>
        <w:t>19</w:t>
      </w:r>
    </w:p>
    <w:p w14:paraId="64BA6534" w14:textId="77777777" w:rsidR="00047EA6" w:rsidRPr="00A84443" w:rsidRDefault="00047EA6">
      <w:pPr>
        <w:pStyle w:val="BodyText"/>
        <w:rPr>
          <w:b/>
          <w:sz w:val="32"/>
          <w:lang w:val="sr-Latn-RS"/>
        </w:rPr>
      </w:pPr>
    </w:p>
    <w:p w14:paraId="5DC96371" w14:textId="77777777" w:rsidR="00047EA6" w:rsidRPr="00A84443" w:rsidRDefault="00387B35">
      <w:pPr>
        <w:ind w:left="117"/>
        <w:rPr>
          <w:b/>
          <w:sz w:val="32"/>
          <w:lang w:val="sr-Latn-RS"/>
        </w:rPr>
      </w:pPr>
      <w:r w:rsidRPr="00A84443">
        <w:rPr>
          <w:b/>
          <w:sz w:val="32"/>
          <w:lang w:val="sr-Latn-RS"/>
        </w:rPr>
        <w:t>A</w:t>
      </w:r>
      <w:r w:rsidR="000B0227" w:rsidRPr="00A84443">
        <w:rPr>
          <w:b/>
          <w:sz w:val="32"/>
          <w:lang w:val="sr-Latn-RS"/>
        </w:rPr>
        <w:t>lati za države članice</w:t>
      </w:r>
    </w:p>
    <w:p w14:paraId="11F8C0F1" w14:textId="77777777" w:rsidR="00047EA6" w:rsidRPr="00A84443" w:rsidRDefault="00047EA6">
      <w:pPr>
        <w:pStyle w:val="BodyText"/>
        <w:rPr>
          <w:b/>
          <w:sz w:val="20"/>
          <w:lang w:val="sr-Latn-RS"/>
        </w:rPr>
      </w:pPr>
    </w:p>
    <w:p w14:paraId="0F0E9DB1" w14:textId="77777777" w:rsidR="00047EA6" w:rsidRPr="00A84443" w:rsidRDefault="00047EA6">
      <w:pPr>
        <w:pStyle w:val="BodyText"/>
        <w:rPr>
          <w:b/>
          <w:sz w:val="20"/>
          <w:lang w:val="sr-Latn-RS"/>
        </w:rPr>
      </w:pPr>
    </w:p>
    <w:p w14:paraId="3EC4555C" w14:textId="13D7688C" w:rsidR="00047EA6" w:rsidRPr="00A84443" w:rsidRDefault="00305E5A">
      <w:pPr>
        <w:pStyle w:val="BodyText"/>
        <w:spacing w:before="11"/>
        <w:rPr>
          <w:b/>
          <w:sz w:val="10"/>
          <w:lang w:val="sr-Latn-RS"/>
        </w:rPr>
      </w:pPr>
      <w:r w:rsidRPr="00A84443">
        <w:rPr>
          <w:noProof/>
          <w:lang w:val="bs-Latn-BA" w:eastAsia="bs-Latn-BA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8B3B20" wp14:editId="5CC3F0A5">
                <wp:simplePos x="0" y="0"/>
                <wp:positionH relativeFrom="page">
                  <wp:posOffset>684530</wp:posOffset>
                </wp:positionH>
                <wp:positionV relativeFrom="paragraph">
                  <wp:posOffset>109855</wp:posOffset>
                </wp:positionV>
                <wp:extent cx="6096000" cy="0"/>
                <wp:effectExtent l="0" t="0" r="0" b="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A5C83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65pt" to="53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TDHA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14:paraId="04B7B35E" w14:textId="77777777" w:rsidR="00047EA6" w:rsidRDefault="00047EA6">
      <w:pPr>
        <w:rPr>
          <w:sz w:val="10"/>
          <w:lang w:val="sr-Latn-RS"/>
        </w:rPr>
      </w:pPr>
    </w:p>
    <w:p w14:paraId="7D296386" w14:textId="77777777" w:rsidR="00403D92" w:rsidRDefault="00403D92">
      <w:pPr>
        <w:rPr>
          <w:sz w:val="10"/>
          <w:lang w:val="sr-Latn-RS"/>
        </w:rPr>
      </w:pPr>
    </w:p>
    <w:p w14:paraId="10CC02C0" w14:textId="77777777" w:rsidR="00403D92" w:rsidRDefault="00403D92">
      <w:pPr>
        <w:rPr>
          <w:sz w:val="10"/>
          <w:lang w:val="sr-Latn-RS"/>
        </w:rPr>
      </w:pPr>
    </w:p>
    <w:p w14:paraId="6CC129DE" w14:textId="77777777" w:rsidR="00403D92" w:rsidRDefault="00403D92">
      <w:pPr>
        <w:rPr>
          <w:sz w:val="10"/>
          <w:lang w:val="sr-Latn-RS"/>
        </w:rPr>
      </w:pPr>
    </w:p>
    <w:p w14:paraId="6F921B79" w14:textId="77777777" w:rsidR="00403D92" w:rsidRDefault="00403D92">
      <w:pPr>
        <w:rPr>
          <w:sz w:val="10"/>
          <w:lang w:val="sr-Latn-RS"/>
        </w:rPr>
      </w:pPr>
    </w:p>
    <w:p w14:paraId="2FEC70E3" w14:textId="77777777" w:rsidR="00403D92" w:rsidRDefault="00403D92">
      <w:pPr>
        <w:rPr>
          <w:sz w:val="10"/>
          <w:lang w:val="sr-Latn-RS"/>
        </w:rPr>
      </w:pPr>
    </w:p>
    <w:p w14:paraId="2FB4B484" w14:textId="77777777" w:rsidR="00403D92" w:rsidRDefault="00403D92">
      <w:pPr>
        <w:rPr>
          <w:sz w:val="10"/>
          <w:lang w:val="sr-Latn-RS"/>
        </w:rPr>
      </w:pPr>
    </w:p>
    <w:p w14:paraId="78326898" w14:textId="77777777" w:rsidR="00403D92" w:rsidRDefault="00403D92">
      <w:pPr>
        <w:rPr>
          <w:sz w:val="10"/>
          <w:lang w:val="sr-Latn-RS"/>
        </w:rPr>
      </w:pPr>
    </w:p>
    <w:p w14:paraId="75E509D6" w14:textId="77777777" w:rsidR="00403D92" w:rsidRDefault="00403D92">
      <w:pPr>
        <w:rPr>
          <w:sz w:val="10"/>
          <w:lang w:val="sr-Latn-RS"/>
        </w:rPr>
      </w:pPr>
    </w:p>
    <w:p w14:paraId="09C8FCAA" w14:textId="77777777" w:rsidR="00403D92" w:rsidRDefault="00403D92">
      <w:pPr>
        <w:rPr>
          <w:sz w:val="10"/>
          <w:lang w:val="sr-Latn-RS"/>
        </w:rPr>
      </w:pPr>
    </w:p>
    <w:p w14:paraId="362313FD" w14:textId="77777777" w:rsidR="00403D92" w:rsidRDefault="00403D92">
      <w:pPr>
        <w:rPr>
          <w:sz w:val="10"/>
          <w:lang w:val="sr-Latn-RS"/>
        </w:rPr>
      </w:pPr>
    </w:p>
    <w:p w14:paraId="1870E12F" w14:textId="77777777" w:rsidR="00403D92" w:rsidRDefault="00403D92">
      <w:pPr>
        <w:rPr>
          <w:sz w:val="10"/>
          <w:lang w:val="sr-Latn-RS"/>
        </w:rPr>
      </w:pPr>
    </w:p>
    <w:p w14:paraId="47C384ED" w14:textId="77777777" w:rsidR="00403D92" w:rsidRDefault="00403D92">
      <w:pPr>
        <w:rPr>
          <w:sz w:val="10"/>
          <w:lang w:val="sr-Latn-RS"/>
        </w:rPr>
      </w:pPr>
    </w:p>
    <w:p w14:paraId="5619FAC6" w14:textId="77777777" w:rsidR="00403D92" w:rsidRDefault="00403D92">
      <w:pPr>
        <w:rPr>
          <w:sz w:val="10"/>
          <w:lang w:val="sr-Latn-RS"/>
        </w:rPr>
      </w:pPr>
    </w:p>
    <w:p w14:paraId="17B96D96" w14:textId="77777777" w:rsidR="00403D92" w:rsidRDefault="00403D92">
      <w:pPr>
        <w:rPr>
          <w:sz w:val="10"/>
          <w:lang w:val="sr-Latn-RS"/>
        </w:rPr>
      </w:pPr>
    </w:p>
    <w:p w14:paraId="096921C0" w14:textId="77777777" w:rsidR="00403D92" w:rsidRDefault="00403D92">
      <w:pPr>
        <w:rPr>
          <w:sz w:val="10"/>
          <w:lang w:val="sr-Latn-RS"/>
        </w:rPr>
      </w:pPr>
    </w:p>
    <w:p w14:paraId="42E74B04" w14:textId="77777777" w:rsidR="00403D92" w:rsidRDefault="00403D92">
      <w:pPr>
        <w:rPr>
          <w:sz w:val="10"/>
          <w:lang w:val="sr-Latn-RS"/>
        </w:rPr>
      </w:pPr>
    </w:p>
    <w:p w14:paraId="2CAF7CCD" w14:textId="77777777" w:rsidR="00403D92" w:rsidRDefault="00403D92">
      <w:pPr>
        <w:rPr>
          <w:sz w:val="10"/>
          <w:lang w:val="sr-Latn-RS"/>
        </w:rPr>
      </w:pPr>
    </w:p>
    <w:p w14:paraId="1563E8FC" w14:textId="77777777" w:rsidR="00403D92" w:rsidRDefault="00403D92">
      <w:pPr>
        <w:rPr>
          <w:sz w:val="10"/>
          <w:lang w:val="sr-Latn-RS"/>
        </w:rPr>
      </w:pPr>
    </w:p>
    <w:p w14:paraId="21FF413F" w14:textId="77777777" w:rsidR="00403D92" w:rsidRDefault="00403D92">
      <w:pPr>
        <w:rPr>
          <w:sz w:val="10"/>
          <w:lang w:val="sr-Latn-RS"/>
        </w:rPr>
      </w:pPr>
    </w:p>
    <w:p w14:paraId="6306AEDD" w14:textId="77777777" w:rsidR="00403D92" w:rsidRDefault="00403D92">
      <w:pPr>
        <w:rPr>
          <w:sz w:val="10"/>
          <w:lang w:val="sr-Latn-RS"/>
        </w:rPr>
      </w:pPr>
    </w:p>
    <w:p w14:paraId="50E9F509" w14:textId="77777777" w:rsidR="00403D92" w:rsidRDefault="00403D92">
      <w:pPr>
        <w:rPr>
          <w:sz w:val="10"/>
          <w:lang w:val="sr-Latn-RS"/>
        </w:rPr>
      </w:pPr>
    </w:p>
    <w:p w14:paraId="168371AD" w14:textId="77777777" w:rsidR="00403D92" w:rsidRDefault="00403D92">
      <w:pPr>
        <w:rPr>
          <w:sz w:val="10"/>
          <w:lang w:val="sr-Latn-RS"/>
        </w:rPr>
      </w:pPr>
    </w:p>
    <w:p w14:paraId="3B6250BD" w14:textId="77777777" w:rsidR="00403D92" w:rsidRDefault="00403D92">
      <w:pPr>
        <w:rPr>
          <w:sz w:val="10"/>
          <w:lang w:val="sr-Latn-RS"/>
        </w:rPr>
      </w:pPr>
    </w:p>
    <w:p w14:paraId="789EE609" w14:textId="77777777" w:rsidR="00403D92" w:rsidRDefault="00403D92">
      <w:pPr>
        <w:rPr>
          <w:sz w:val="10"/>
          <w:lang w:val="sr-Latn-RS"/>
        </w:rPr>
      </w:pPr>
    </w:p>
    <w:p w14:paraId="2C13C1A0" w14:textId="77777777" w:rsidR="00403D92" w:rsidRDefault="00403D92">
      <w:pPr>
        <w:rPr>
          <w:sz w:val="10"/>
          <w:lang w:val="sr-Latn-RS"/>
        </w:rPr>
      </w:pPr>
    </w:p>
    <w:p w14:paraId="1A24331D" w14:textId="77777777" w:rsidR="00403D92" w:rsidRDefault="00403D92">
      <w:pPr>
        <w:rPr>
          <w:sz w:val="10"/>
          <w:lang w:val="sr-Latn-RS"/>
        </w:rPr>
      </w:pPr>
    </w:p>
    <w:p w14:paraId="46335F16" w14:textId="77777777" w:rsidR="00403D92" w:rsidRDefault="00403D92">
      <w:pPr>
        <w:rPr>
          <w:sz w:val="10"/>
          <w:lang w:val="sr-Latn-RS"/>
        </w:rPr>
      </w:pPr>
    </w:p>
    <w:p w14:paraId="44A72688" w14:textId="77777777" w:rsidR="00403D92" w:rsidRDefault="00403D92">
      <w:pPr>
        <w:rPr>
          <w:sz w:val="10"/>
          <w:lang w:val="sr-Latn-RS"/>
        </w:rPr>
      </w:pPr>
    </w:p>
    <w:p w14:paraId="0B1EDF9E" w14:textId="77777777" w:rsidR="00403D92" w:rsidRDefault="00403D92">
      <w:pPr>
        <w:rPr>
          <w:sz w:val="10"/>
          <w:lang w:val="sr-Latn-RS"/>
        </w:rPr>
      </w:pPr>
    </w:p>
    <w:p w14:paraId="44575C1E" w14:textId="77777777" w:rsidR="00403D92" w:rsidRDefault="00403D92">
      <w:pPr>
        <w:rPr>
          <w:sz w:val="10"/>
          <w:lang w:val="sr-Latn-RS"/>
        </w:rPr>
      </w:pPr>
    </w:p>
    <w:p w14:paraId="4D5A2BBB" w14:textId="77777777" w:rsidR="00403D92" w:rsidRDefault="00403D92">
      <w:pPr>
        <w:rPr>
          <w:sz w:val="10"/>
          <w:lang w:val="sr-Latn-RS"/>
        </w:rPr>
      </w:pPr>
    </w:p>
    <w:p w14:paraId="6D3DBCE0" w14:textId="77777777" w:rsidR="00403D92" w:rsidRDefault="00403D92">
      <w:pPr>
        <w:rPr>
          <w:sz w:val="10"/>
          <w:lang w:val="sr-Latn-RS"/>
        </w:rPr>
      </w:pPr>
    </w:p>
    <w:p w14:paraId="7E68B015" w14:textId="77777777" w:rsidR="00403D92" w:rsidRDefault="00403D92">
      <w:pPr>
        <w:rPr>
          <w:sz w:val="10"/>
          <w:lang w:val="sr-Latn-RS"/>
        </w:rPr>
      </w:pPr>
    </w:p>
    <w:p w14:paraId="2FE99B48" w14:textId="77777777" w:rsidR="00403D92" w:rsidRDefault="00403D92">
      <w:pPr>
        <w:rPr>
          <w:sz w:val="10"/>
          <w:lang w:val="sr-Latn-RS"/>
        </w:rPr>
      </w:pPr>
    </w:p>
    <w:p w14:paraId="2EB85F1D" w14:textId="77777777" w:rsidR="00403D92" w:rsidRDefault="00403D92">
      <w:pPr>
        <w:rPr>
          <w:sz w:val="10"/>
          <w:lang w:val="sr-Latn-RS"/>
        </w:rPr>
      </w:pPr>
    </w:p>
    <w:p w14:paraId="29812E82" w14:textId="77777777" w:rsidR="00403D92" w:rsidRDefault="00403D92">
      <w:pPr>
        <w:rPr>
          <w:sz w:val="10"/>
          <w:lang w:val="sr-Latn-RS"/>
        </w:rPr>
      </w:pPr>
    </w:p>
    <w:p w14:paraId="08372F37" w14:textId="639ED2E9" w:rsidR="00403D92" w:rsidRDefault="00403D92">
      <w:pPr>
        <w:rPr>
          <w:sz w:val="10"/>
          <w:lang w:val="sr-Latn-RS"/>
        </w:rPr>
      </w:pPr>
    </w:p>
    <w:p w14:paraId="63397D14" w14:textId="5F0E2F4D" w:rsidR="00403D92" w:rsidRDefault="00157096">
      <w:pPr>
        <w:rPr>
          <w:i/>
          <w:iCs/>
          <w:sz w:val="18"/>
          <w:szCs w:val="18"/>
          <w:lang w:val="sr-Latn-RS"/>
        </w:rPr>
      </w:pPr>
      <w:r w:rsidRPr="00D639E1">
        <w:rPr>
          <w:noProof/>
          <w:lang w:val="bs-Latn-BA" w:eastAsia="bs-Latn-BA" w:bidi="ar-SA"/>
        </w:rPr>
        <w:drawing>
          <wp:anchor distT="0" distB="0" distL="114300" distR="114300" simplePos="0" relativeHeight="251660288" behindDoc="0" locked="0" layoutInCell="1" allowOverlap="1" wp14:anchorId="5529023C" wp14:editId="76A6FAE0">
            <wp:simplePos x="0" y="0"/>
            <wp:positionH relativeFrom="margin">
              <wp:posOffset>-635</wp:posOffset>
            </wp:positionH>
            <wp:positionV relativeFrom="paragraph">
              <wp:posOffset>1121410</wp:posOffset>
            </wp:positionV>
            <wp:extent cx="2643505" cy="1005840"/>
            <wp:effectExtent l="0" t="0" r="4445" b="381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B7DE5" w14:textId="6CF73858" w:rsidR="00157096" w:rsidRPr="00A84443" w:rsidRDefault="00157096">
      <w:pPr>
        <w:rPr>
          <w:sz w:val="10"/>
          <w:lang w:val="sr-Latn-RS"/>
        </w:rPr>
        <w:sectPr w:rsidR="00157096" w:rsidRPr="00A84443">
          <w:type w:val="continuous"/>
          <w:pgSz w:w="11910" w:h="16840"/>
          <w:pgMar w:top="640" w:right="740" w:bottom="280" w:left="960" w:header="720" w:footer="720" w:gutter="0"/>
          <w:cols w:space="720"/>
        </w:sectPr>
      </w:pPr>
    </w:p>
    <w:p w14:paraId="0CE97B02" w14:textId="01610251" w:rsidR="00047EA6" w:rsidRPr="00A84443" w:rsidRDefault="00047EA6">
      <w:pPr>
        <w:pStyle w:val="BodyText"/>
        <w:spacing w:before="9"/>
        <w:rPr>
          <w:b/>
          <w:sz w:val="9"/>
          <w:lang w:val="sr-Latn-RS"/>
        </w:rPr>
      </w:pPr>
    </w:p>
    <w:p w14:paraId="7420B3C5" w14:textId="77777777" w:rsidR="00047EA6" w:rsidRPr="00A84443" w:rsidRDefault="000B0227">
      <w:pPr>
        <w:pStyle w:val="Heading2"/>
        <w:spacing w:before="94"/>
        <w:ind w:left="117" w:firstLine="0"/>
        <w:rPr>
          <w:lang w:val="sr-Latn-RS"/>
        </w:rPr>
      </w:pPr>
      <w:r w:rsidRPr="00A84443">
        <w:rPr>
          <w:lang w:val="sr-Latn-RS"/>
        </w:rPr>
        <w:t>Uvod</w:t>
      </w:r>
    </w:p>
    <w:p w14:paraId="259D87AD" w14:textId="77777777" w:rsidR="00047EA6" w:rsidRPr="00A84443" w:rsidRDefault="00047EA6">
      <w:pPr>
        <w:pStyle w:val="BodyText"/>
        <w:spacing w:before="1"/>
        <w:rPr>
          <w:b/>
          <w:lang w:val="sr-Latn-RS"/>
        </w:rPr>
      </w:pPr>
    </w:p>
    <w:p w14:paraId="276ABC1C" w14:textId="77676E14" w:rsidR="00047EA6" w:rsidRPr="00A84443" w:rsidRDefault="000B0227">
      <w:pPr>
        <w:pStyle w:val="BodyText"/>
        <w:ind w:left="117" w:right="419"/>
        <w:jc w:val="both"/>
        <w:rPr>
          <w:lang w:val="sr-Latn-RS"/>
        </w:rPr>
      </w:pPr>
      <w:r w:rsidRPr="00A84443">
        <w:rPr>
          <w:lang w:val="sr-Latn-RS"/>
        </w:rPr>
        <w:t>Svrha ovog dokumenta je da pruži vladama alate da se bave trenutnom zdravstvenom krizom</w:t>
      </w:r>
      <w:r w:rsidR="00972820">
        <w:rPr>
          <w:lang w:val="sr-Latn-RS"/>
        </w:rPr>
        <w:t xml:space="preserve"> </w:t>
      </w:r>
      <w:r w:rsidRPr="00A84443">
        <w:rPr>
          <w:lang w:val="sr-Latn-RS"/>
        </w:rPr>
        <w:t>bez presedana i ogromnog obima</w:t>
      </w:r>
      <w:r w:rsidR="00B15473">
        <w:rPr>
          <w:lang w:val="sr-Latn-RS"/>
        </w:rPr>
        <w:t>,</w:t>
      </w:r>
      <w:r w:rsidRPr="00A84443">
        <w:rPr>
          <w:lang w:val="sr-Latn-RS"/>
        </w:rPr>
        <w:t xml:space="preserve"> na način koji poštuje osnovne vr</w:t>
      </w:r>
      <w:r w:rsidR="00406110">
        <w:rPr>
          <w:lang w:val="sr-Latn-RS"/>
        </w:rPr>
        <w:t>ij</w:t>
      </w:r>
      <w:r w:rsidRPr="00A84443">
        <w:rPr>
          <w:lang w:val="sr-Latn-RS"/>
        </w:rPr>
        <w:t xml:space="preserve">ednosti demokratije, vladavine </w:t>
      </w:r>
      <w:r w:rsidR="00A827BB">
        <w:rPr>
          <w:lang w:val="sr-Latn-RS"/>
        </w:rPr>
        <w:t>zakona</w:t>
      </w:r>
      <w:r w:rsidRPr="00A84443">
        <w:rPr>
          <w:lang w:val="sr-Latn-RS"/>
        </w:rPr>
        <w:t xml:space="preserve"> i ljudskih prava</w:t>
      </w:r>
      <w:r w:rsidR="00387B35" w:rsidRPr="00A84443">
        <w:rPr>
          <w:lang w:val="sr-Latn-RS"/>
        </w:rPr>
        <w:t>.</w:t>
      </w:r>
    </w:p>
    <w:p w14:paraId="44BF43DB" w14:textId="77777777" w:rsidR="00047EA6" w:rsidRPr="00A84443" w:rsidRDefault="00047EA6">
      <w:pPr>
        <w:pStyle w:val="BodyText"/>
        <w:spacing w:before="1"/>
        <w:rPr>
          <w:sz w:val="24"/>
          <w:lang w:val="sr-Latn-RS"/>
        </w:rPr>
      </w:pPr>
    </w:p>
    <w:p w14:paraId="789AFF8C" w14:textId="79CD54F3" w:rsidR="00047EA6" w:rsidRPr="00A62A4D" w:rsidRDefault="000B0227">
      <w:pPr>
        <w:pStyle w:val="BodyText"/>
        <w:spacing w:before="1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Od samog početka se prepoznaje da su vlade suočene</w:t>
      </w:r>
      <w:r w:rsidR="00C71C5C">
        <w:rPr>
          <w:lang w:val="sr-Latn-RS"/>
        </w:rPr>
        <w:t xml:space="preserve"> sa</w:t>
      </w:r>
      <w:r w:rsidRPr="00A84443">
        <w:rPr>
          <w:lang w:val="sr-Latn-RS"/>
        </w:rPr>
        <w:t xml:space="preserve"> </w:t>
      </w:r>
      <w:r w:rsidR="005C3AE4">
        <w:rPr>
          <w:lang w:val="sr-Latn-RS"/>
        </w:rPr>
        <w:t>teškim</w:t>
      </w:r>
      <w:r w:rsidRPr="00A84443">
        <w:rPr>
          <w:lang w:val="sr-Latn-RS"/>
        </w:rPr>
        <w:t xml:space="preserve"> izazovima u pokušajima da zaštite svoje stanovništvo od pr</w:t>
      </w:r>
      <w:r w:rsidR="00406110">
        <w:rPr>
          <w:lang w:val="sr-Latn-RS"/>
        </w:rPr>
        <w:t>ij</w:t>
      </w:r>
      <w:r w:rsidRPr="00A84443">
        <w:rPr>
          <w:lang w:val="sr-Latn-RS"/>
        </w:rPr>
        <w:t>etnj</w:t>
      </w:r>
      <w:r w:rsidR="001E4DA7">
        <w:rPr>
          <w:lang w:val="sr-Latn-RS"/>
        </w:rPr>
        <w:t>e</w:t>
      </w:r>
      <w:r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>COVID-</w:t>
      </w:r>
      <w:r w:rsidRPr="00A84443">
        <w:rPr>
          <w:lang w:val="sr-Latn-RS"/>
        </w:rPr>
        <w:t xml:space="preserve">a </w:t>
      </w:r>
      <w:r w:rsidR="00387B35" w:rsidRPr="00A84443">
        <w:rPr>
          <w:lang w:val="sr-Latn-RS"/>
        </w:rPr>
        <w:t>19.</w:t>
      </w:r>
      <w:r w:rsidR="00C71C5C">
        <w:rPr>
          <w:lang w:val="sr-Latn-RS"/>
        </w:rPr>
        <w:t xml:space="preserve"> </w:t>
      </w:r>
      <w:r w:rsidR="00C71C5C" w:rsidRPr="00C71C5C">
        <w:rPr>
          <w:lang w:val="sr-Latn-RS"/>
        </w:rPr>
        <w:t>T</w:t>
      </w:r>
      <w:r w:rsidR="001E4DA7" w:rsidRPr="00C71C5C">
        <w:rPr>
          <w:lang w:val="sr-Latn-RS"/>
        </w:rPr>
        <w:t>akođe</w:t>
      </w:r>
      <w:r w:rsidRPr="00C71C5C">
        <w:rPr>
          <w:lang w:val="sr-Latn-RS"/>
        </w:rPr>
        <w:t xml:space="preserve"> </w:t>
      </w:r>
      <w:r w:rsidR="00C71C5C" w:rsidRPr="00C71C5C">
        <w:rPr>
          <w:lang w:val="sr-Latn-RS"/>
        </w:rPr>
        <w:t xml:space="preserve">se shvata </w:t>
      </w:r>
      <w:r w:rsidRPr="00C71C5C">
        <w:rPr>
          <w:lang w:val="sr-Latn-RS"/>
        </w:rPr>
        <w:t xml:space="preserve">da </w:t>
      </w:r>
      <w:r w:rsidRPr="00A62A4D">
        <w:rPr>
          <w:lang w:val="sr-Latn-RS"/>
        </w:rPr>
        <w:t>nije moguće očuvati redovno funkcionisanje društva</w:t>
      </w:r>
      <w:r w:rsidR="00387B35" w:rsidRPr="00A62A4D">
        <w:rPr>
          <w:lang w:val="sr-Latn-RS"/>
        </w:rPr>
        <w:t xml:space="preserve">, </w:t>
      </w:r>
      <w:r w:rsidRPr="00A62A4D">
        <w:rPr>
          <w:lang w:val="sr-Latn-RS"/>
        </w:rPr>
        <w:t>naročito u sv</w:t>
      </w:r>
      <w:r w:rsidR="00406110">
        <w:rPr>
          <w:lang w:val="sr-Latn-RS"/>
        </w:rPr>
        <w:t>je</w:t>
      </w:r>
      <w:r w:rsidRPr="00A62A4D">
        <w:rPr>
          <w:lang w:val="sr-Latn-RS"/>
        </w:rPr>
        <w:t>tlu osnovnih zaštitnih m</w:t>
      </w:r>
      <w:r w:rsidR="00406110">
        <w:rPr>
          <w:lang w:val="sr-Latn-RS"/>
        </w:rPr>
        <w:t>j</w:t>
      </w:r>
      <w:r w:rsidRPr="00A62A4D">
        <w:rPr>
          <w:lang w:val="sr-Latn-RS"/>
        </w:rPr>
        <w:t>era koje su neophodne u borbi sa virusom</w:t>
      </w:r>
      <w:r w:rsidR="00387B35" w:rsidRPr="00A62A4D">
        <w:rPr>
          <w:lang w:val="sr-Latn-RS"/>
        </w:rPr>
        <w:t xml:space="preserve">, </w:t>
      </w:r>
      <w:r w:rsidRPr="00A62A4D">
        <w:rPr>
          <w:lang w:val="sr-Latn-RS"/>
        </w:rPr>
        <w:t>odnosno ograničenim kretanjem</w:t>
      </w:r>
      <w:r w:rsidR="00387B35" w:rsidRPr="00A62A4D">
        <w:rPr>
          <w:lang w:val="sr-Latn-RS"/>
        </w:rPr>
        <w:t xml:space="preserve">. </w:t>
      </w:r>
      <w:r w:rsidR="00972820" w:rsidRPr="00A62A4D">
        <w:rPr>
          <w:lang w:val="sr-Latn-RS"/>
        </w:rPr>
        <w:t>Š</w:t>
      </w:r>
      <w:r w:rsidRPr="00A62A4D">
        <w:rPr>
          <w:lang w:val="sr-Latn-RS"/>
        </w:rPr>
        <w:t>taviše,</w:t>
      </w:r>
      <w:r w:rsidR="001E4DA7" w:rsidRPr="00A62A4D">
        <w:rPr>
          <w:lang w:val="sr-Latn-RS"/>
        </w:rPr>
        <w:t xml:space="preserve"> prihva</w:t>
      </w:r>
      <w:r w:rsidR="0029480A" w:rsidRPr="00A62A4D">
        <w:rPr>
          <w:lang w:val="sr-Latn-RS"/>
        </w:rPr>
        <w:t>ta se</w:t>
      </w:r>
      <w:r w:rsidR="001E4DA7" w:rsidRPr="00A62A4D">
        <w:rPr>
          <w:lang w:val="sr-Latn-RS"/>
        </w:rPr>
        <w:t xml:space="preserve"> </w:t>
      </w:r>
      <w:r w:rsidRPr="00A62A4D">
        <w:rPr>
          <w:lang w:val="sr-Latn-RS"/>
        </w:rPr>
        <w:t>da će preduzete m</w:t>
      </w:r>
      <w:r w:rsidR="00406110">
        <w:rPr>
          <w:lang w:val="sr-Latn-RS"/>
        </w:rPr>
        <w:t>j</w:t>
      </w:r>
      <w:r w:rsidRPr="00A62A4D">
        <w:rPr>
          <w:lang w:val="sr-Latn-RS"/>
        </w:rPr>
        <w:t>ere ne</w:t>
      </w:r>
      <w:r w:rsidR="0029480A" w:rsidRPr="00A62A4D">
        <w:rPr>
          <w:lang w:val="sr-Latn-RS"/>
        </w:rPr>
        <w:t>minovno</w:t>
      </w:r>
      <w:r w:rsidRPr="00A62A4D">
        <w:rPr>
          <w:lang w:val="sr-Latn-RS"/>
        </w:rPr>
        <w:t xml:space="preserve"> </w:t>
      </w:r>
      <w:r w:rsidR="0029480A" w:rsidRPr="00A62A4D">
        <w:rPr>
          <w:lang w:val="sr-Latn-RS"/>
        </w:rPr>
        <w:t>narušiti</w:t>
      </w:r>
      <w:r w:rsidRPr="00A62A4D">
        <w:rPr>
          <w:lang w:val="sr-Latn-RS"/>
        </w:rPr>
        <w:t xml:space="preserve"> prava i slobode koje su sastavni i neophodni d</w:t>
      </w:r>
      <w:r w:rsidR="00406110">
        <w:rPr>
          <w:lang w:val="sr-Latn-RS"/>
        </w:rPr>
        <w:t>i</w:t>
      </w:r>
      <w:r w:rsidRPr="00A62A4D">
        <w:rPr>
          <w:lang w:val="sr-Latn-RS"/>
        </w:rPr>
        <w:t>o demokratskog društva zasnovanog na vladavini prava</w:t>
      </w:r>
      <w:r w:rsidR="00387B35" w:rsidRPr="00A62A4D">
        <w:rPr>
          <w:lang w:val="sr-Latn-RS"/>
        </w:rPr>
        <w:t>.</w:t>
      </w:r>
    </w:p>
    <w:p w14:paraId="6D4A99A3" w14:textId="77777777" w:rsidR="00047EA6" w:rsidRPr="00A62A4D" w:rsidRDefault="00047EA6">
      <w:pPr>
        <w:pStyle w:val="BodyText"/>
        <w:spacing w:before="9"/>
        <w:rPr>
          <w:sz w:val="21"/>
          <w:lang w:val="sr-Latn-RS"/>
        </w:rPr>
      </w:pPr>
    </w:p>
    <w:p w14:paraId="61F5051D" w14:textId="5AA24249" w:rsidR="00047EA6" w:rsidRPr="00A84443" w:rsidRDefault="00820139">
      <w:pPr>
        <w:pStyle w:val="BodyText"/>
        <w:ind w:left="117" w:right="414"/>
        <w:jc w:val="both"/>
        <w:rPr>
          <w:lang w:val="sr-Latn-RS"/>
        </w:rPr>
      </w:pPr>
      <w:r w:rsidRPr="00A62A4D">
        <w:rPr>
          <w:lang w:val="sr-Latn-RS"/>
        </w:rPr>
        <w:t>Glavni</w:t>
      </w:r>
      <w:r w:rsidR="009C4726" w:rsidRPr="00A62A4D">
        <w:rPr>
          <w:lang w:val="sr-Latn-RS"/>
        </w:rPr>
        <w:t xml:space="preserve"> društveni, politički i pravni izazov s kojim će se naše države članice suoč</w:t>
      </w:r>
      <w:r w:rsidR="00DD0F7D" w:rsidRPr="00A62A4D">
        <w:rPr>
          <w:lang w:val="sr-Latn-RS"/>
        </w:rPr>
        <w:t>ava</w:t>
      </w:r>
      <w:r w:rsidR="009C4726" w:rsidRPr="00A62A4D">
        <w:rPr>
          <w:lang w:val="sr-Latn-RS"/>
        </w:rPr>
        <w:t>ti odnosiće se na njihovu sposobnost da na d</w:t>
      </w:r>
      <w:r w:rsidR="00406110">
        <w:rPr>
          <w:lang w:val="sr-Latn-RS"/>
        </w:rPr>
        <w:t>j</w:t>
      </w:r>
      <w:r w:rsidR="009C4726" w:rsidRPr="00A62A4D">
        <w:rPr>
          <w:lang w:val="sr-Latn-RS"/>
        </w:rPr>
        <w:t>elotvoran način odgovore na ovu krizu</w:t>
      </w:r>
      <w:r w:rsidR="00387B35" w:rsidRPr="00A62A4D">
        <w:rPr>
          <w:lang w:val="sr-Latn-RS"/>
        </w:rPr>
        <w:t xml:space="preserve">, </w:t>
      </w:r>
      <w:r w:rsidR="009C4726" w:rsidRPr="00A62A4D">
        <w:rPr>
          <w:lang w:val="sr-Latn-RS"/>
        </w:rPr>
        <w:t>a da istovremeno osiguraju da m</w:t>
      </w:r>
      <w:r w:rsidR="00406110">
        <w:rPr>
          <w:lang w:val="sr-Latn-RS"/>
        </w:rPr>
        <w:t>j</w:t>
      </w:r>
      <w:r w:rsidR="009C4726" w:rsidRPr="00A62A4D">
        <w:rPr>
          <w:lang w:val="sr-Latn-RS"/>
        </w:rPr>
        <w:t>ere koje preduzimaju ne ugrožavaju naše dugoročne interese</w:t>
      </w:r>
      <w:r w:rsidR="00406110">
        <w:rPr>
          <w:lang w:val="sr-Latn-RS"/>
        </w:rPr>
        <w:t>,</w:t>
      </w:r>
      <w:r w:rsidR="009C4726" w:rsidRPr="00A62A4D">
        <w:rPr>
          <w:lang w:val="sr-Latn-RS"/>
        </w:rPr>
        <w:t xml:space="preserve"> da se zaštite vr</w:t>
      </w:r>
      <w:r w:rsidR="00406110">
        <w:rPr>
          <w:lang w:val="sr-Latn-RS"/>
        </w:rPr>
        <w:t>ij</w:t>
      </w:r>
      <w:r w:rsidR="009C4726" w:rsidRPr="00A62A4D">
        <w:rPr>
          <w:lang w:val="sr-Latn-RS"/>
        </w:rPr>
        <w:t xml:space="preserve">ednosti </w:t>
      </w:r>
      <w:r w:rsidRPr="00A62A4D">
        <w:rPr>
          <w:lang w:val="sr-Latn-RS"/>
        </w:rPr>
        <w:t>na kojima se temelji Evropa</w:t>
      </w:r>
      <w:r w:rsidR="009C4726" w:rsidRPr="00A62A4D">
        <w:rPr>
          <w:lang w:val="sr-Latn-RS"/>
        </w:rPr>
        <w:t>, odnosno vr</w:t>
      </w:r>
      <w:r w:rsidR="00406110">
        <w:rPr>
          <w:lang w:val="sr-Latn-RS"/>
        </w:rPr>
        <w:t>ij</w:t>
      </w:r>
      <w:r w:rsidR="009C4726" w:rsidRPr="00A62A4D">
        <w:rPr>
          <w:lang w:val="sr-Latn-RS"/>
        </w:rPr>
        <w:t xml:space="preserve">ednosti demokratije, vladavine </w:t>
      </w:r>
      <w:r w:rsidR="00406110">
        <w:rPr>
          <w:lang w:val="sr-Latn-RS"/>
        </w:rPr>
        <w:t>zakona</w:t>
      </w:r>
      <w:r w:rsidR="009C4726" w:rsidRPr="00A62A4D">
        <w:rPr>
          <w:lang w:val="sr-Latn-RS"/>
        </w:rPr>
        <w:t xml:space="preserve"> i ljudskih prava</w:t>
      </w:r>
      <w:r w:rsidR="00387B35" w:rsidRPr="00A62A4D">
        <w:rPr>
          <w:lang w:val="sr-Latn-RS"/>
        </w:rPr>
        <w:t xml:space="preserve">. </w:t>
      </w:r>
      <w:r w:rsidR="00A62A4D" w:rsidRPr="00A62A4D">
        <w:rPr>
          <w:lang w:val="sr-Latn-RS"/>
        </w:rPr>
        <w:t>U</w:t>
      </w:r>
      <w:r w:rsidR="009C4726" w:rsidRPr="00A62A4D">
        <w:rPr>
          <w:lang w:val="sr-Latn-RS"/>
        </w:rPr>
        <w:t xml:space="preserve">pravo </w:t>
      </w:r>
      <w:r w:rsidR="00CA40F7" w:rsidRPr="00A62A4D">
        <w:rPr>
          <w:lang w:val="sr-Latn-RS"/>
        </w:rPr>
        <w:t xml:space="preserve">tu </w:t>
      </w:r>
      <w:r w:rsidR="009C4726" w:rsidRPr="00A62A4D">
        <w:rPr>
          <w:lang w:val="sr-Latn-RS"/>
        </w:rPr>
        <w:t xml:space="preserve">je neophodno da </w:t>
      </w:r>
      <w:r w:rsidR="00406110">
        <w:rPr>
          <w:lang w:val="sr-Latn-RS"/>
        </w:rPr>
        <w:t xml:space="preserve">Vijeće </w:t>
      </w:r>
      <w:r w:rsidR="009C4726" w:rsidRPr="00A62A4D">
        <w:rPr>
          <w:lang w:val="sr-Latn-RS"/>
        </w:rPr>
        <w:t xml:space="preserve">Evrope </w:t>
      </w:r>
      <w:r w:rsidR="00CA40F7" w:rsidRPr="00A62A4D">
        <w:rPr>
          <w:lang w:val="sr-Latn-RS"/>
        </w:rPr>
        <w:t>ispuni</w:t>
      </w:r>
      <w:r w:rsidR="009C4726" w:rsidRPr="00A62A4D">
        <w:rPr>
          <w:lang w:val="sr-Latn-RS"/>
        </w:rPr>
        <w:t xml:space="preserve"> svoj</w:t>
      </w:r>
      <w:r w:rsidR="00CA40F7" w:rsidRPr="00A62A4D">
        <w:rPr>
          <w:lang w:val="sr-Latn-RS"/>
        </w:rPr>
        <w:t>u</w:t>
      </w:r>
      <w:r w:rsidR="009C4726" w:rsidRPr="00A62A4D">
        <w:rPr>
          <w:lang w:val="sr-Latn-RS"/>
        </w:rPr>
        <w:t xml:space="preserve"> osnovn</w:t>
      </w:r>
      <w:r w:rsidR="00CA40F7" w:rsidRPr="00A62A4D">
        <w:rPr>
          <w:lang w:val="sr-Latn-RS"/>
        </w:rPr>
        <w:t>u</w:t>
      </w:r>
      <w:r w:rsidR="009C4726" w:rsidRPr="00A62A4D">
        <w:rPr>
          <w:lang w:val="sr-Latn-RS"/>
        </w:rPr>
        <w:t xml:space="preserve"> </w:t>
      </w:r>
      <w:r w:rsidR="00CA40F7" w:rsidRPr="00A62A4D">
        <w:rPr>
          <w:lang w:val="sr-Latn-RS"/>
        </w:rPr>
        <w:t>misiju</w:t>
      </w:r>
      <w:r w:rsidR="009C4726" w:rsidRPr="00A62A4D">
        <w:rPr>
          <w:lang w:val="sr-Latn-RS"/>
        </w:rPr>
        <w:t xml:space="preserve"> </w:t>
      </w:r>
      <w:r w:rsidRPr="00A62A4D">
        <w:rPr>
          <w:lang w:val="sr-Latn-RS"/>
        </w:rPr>
        <w:t>tako što će</w:t>
      </w:r>
      <w:r w:rsidR="009C4726" w:rsidRPr="00A62A4D">
        <w:rPr>
          <w:lang w:val="sr-Latn-RS"/>
        </w:rPr>
        <w:t>, kroz svoje statutarne organe i sva svoja nadležna t</w:t>
      </w:r>
      <w:r w:rsidR="00406110">
        <w:rPr>
          <w:lang w:val="sr-Latn-RS"/>
        </w:rPr>
        <w:t>ij</w:t>
      </w:r>
      <w:r w:rsidR="009C4726" w:rsidRPr="00A62A4D">
        <w:rPr>
          <w:lang w:val="sr-Latn-RS"/>
        </w:rPr>
        <w:t>ela i mehanizme,</w:t>
      </w:r>
      <w:r w:rsidR="00CA40F7" w:rsidRPr="00A62A4D">
        <w:rPr>
          <w:lang w:val="sr-Latn-RS"/>
        </w:rPr>
        <w:t xml:space="preserve"> da obezb</w:t>
      </w:r>
      <w:r w:rsidR="00406110">
        <w:rPr>
          <w:lang w:val="sr-Latn-RS"/>
        </w:rPr>
        <w:t>j</w:t>
      </w:r>
      <w:r w:rsidR="00CA40F7" w:rsidRPr="00A62A4D">
        <w:rPr>
          <w:lang w:val="sr-Latn-RS"/>
        </w:rPr>
        <w:t>edi</w:t>
      </w:r>
      <w:r w:rsidR="009C4726" w:rsidRPr="00A62A4D">
        <w:rPr>
          <w:lang w:val="sr-Latn-RS"/>
        </w:rPr>
        <w:t xml:space="preserve"> forum </w:t>
      </w:r>
      <w:r w:rsidRPr="00A62A4D">
        <w:rPr>
          <w:lang w:val="sr-Latn-RS"/>
        </w:rPr>
        <w:t>gde</w:t>
      </w:r>
      <w:r w:rsidR="009C4726" w:rsidRPr="00A62A4D">
        <w:rPr>
          <w:lang w:val="sr-Latn-RS"/>
        </w:rPr>
        <w:t xml:space="preserve"> će</w:t>
      </w:r>
      <w:r w:rsidRPr="00A62A4D">
        <w:rPr>
          <w:lang w:val="sr-Latn-RS"/>
        </w:rPr>
        <w:t xml:space="preserve"> se</w:t>
      </w:r>
      <w:r w:rsidR="009C4726" w:rsidRPr="00A62A4D">
        <w:rPr>
          <w:lang w:val="sr-Latn-RS"/>
        </w:rPr>
        <w:t xml:space="preserve"> zajednički osigurati da te m</w:t>
      </w:r>
      <w:r w:rsidR="00406110">
        <w:rPr>
          <w:lang w:val="sr-Latn-RS"/>
        </w:rPr>
        <w:t>j</w:t>
      </w:r>
      <w:r w:rsidR="009C4726" w:rsidRPr="00A62A4D">
        <w:rPr>
          <w:lang w:val="sr-Latn-RS"/>
        </w:rPr>
        <w:t>ere budu srazm</w:t>
      </w:r>
      <w:r w:rsidR="00406110">
        <w:rPr>
          <w:lang w:val="sr-Latn-RS"/>
        </w:rPr>
        <w:t>j</w:t>
      </w:r>
      <w:r w:rsidR="009C4726" w:rsidRPr="00A62A4D">
        <w:rPr>
          <w:lang w:val="sr-Latn-RS"/>
        </w:rPr>
        <w:t>erne pr</w:t>
      </w:r>
      <w:r w:rsidR="00406110">
        <w:rPr>
          <w:lang w:val="sr-Latn-RS"/>
        </w:rPr>
        <w:t>ij</w:t>
      </w:r>
      <w:r w:rsidR="009C4726" w:rsidRPr="00A62A4D">
        <w:rPr>
          <w:lang w:val="sr-Latn-RS"/>
        </w:rPr>
        <w:t xml:space="preserve">etnji koju predstavlja širenje virusa </w:t>
      </w:r>
      <w:r w:rsidR="00406110">
        <w:rPr>
          <w:lang w:val="sr-Latn-RS"/>
        </w:rPr>
        <w:t>te</w:t>
      </w:r>
      <w:r w:rsidR="009C4726" w:rsidRPr="00A62A4D">
        <w:rPr>
          <w:lang w:val="sr-Latn-RS"/>
        </w:rPr>
        <w:t xml:space="preserve"> da budu vremenski</w:t>
      </w:r>
      <w:r w:rsidR="009C4726" w:rsidRPr="00A84443">
        <w:rPr>
          <w:lang w:val="sr-Latn-RS"/>
        </w:rPr>
        <w:t xml:space="preserve"> ograničene</w:t>
      </w:r>
      <w:r w:rsidR="00387B35" w:rsidRPr="00A84443">
        <w:rPr>
          <w:lang w:val="sr-Latn-RS"/>
        </w:rPr>
        <w:t xml:space="preserve">. </w:t>
      </w:r>
      <w:r w:rsidR="009C4726" w:rsidRPr="00A84443">
        <w:rPr>
          <w:lang w:val="sr-Latn-RS"/>
        </w:rPr>
        <w:t xml:space="preserve">Virus uništava veliki broj života i mnogo toga drugog </w:t>
      </w:r>
      <w:r w:rsidR="002D63B6">
        <w:rPr>
          <w:lang w:val="sr-Latn-RS"/>
        </w:rPr>
        <w:t>do čega nam je stalo</w:t>
      </w:r>
      <w:r w:rsidR="009C4726" w:rsidRPr="00A84443">
        <w:rPr>
          <w:lang w:val="sr-Latn-RS"/>
        </w:rPr>
        <w:t>. Ne bismo sm</w:t>
      </w:r>
      <w:r w:rsidR="00406110">
        <w:rPr>
          <w:lang w:val="sr-Latn-RS"/>
        </w:rPr>
        <w:t>j</w:t>
      </w:r>
      <w:r w:rsidR="009C4726" w:rsidRPr="00A84443">
        <w:rPr>
          <w:lang w:val="sr-Latn-RS"/>
        </w:rPr>
        <w:t>eli da dopustimo da uništi naše glavne vr</w:t>
      </w:r>
      <w:r w:rsidR="00406110">
        <w:rPr>
          <w:lang w:val="sr-Latn-RS"/>
        </w:rPr>
        <w:t>ij</w:t>
      </w:r>
      <w:r w:rsidR="009C4726" w:rsidRPr="00A84443">
        <w:rPr>
          <w:lang w:val="sr-Latn-RS"/>
        </w:rPr>
        <w:t>ednosti i slobodna društva</w:t>
      </w:r>
      <w:r w:rsidR="00387B35" w:rsidRPr="00A84443">
        <w:rPr>
          <w:lang w:val="sr-Latn-RS"/>
        </w:rPr>
        <w:t>.</w:t>
      </w:r>
    </w:p>
    <w:p w14:paraId="0FD20FF7" w14:textId="77777777" w:rsidR="00047EA6" w:rsidRPr="00A84443" w:rsidRDefault="00047EA6">
      <w:pPr>
        <w:pStyle w:val="BodyText"/>
        <w:spacing w:before="7"/>
        <w:rPr>
          <w:sz w:val="24"/>
          <w:lang w:val="sr-Latn-RS"/>
        </w:rPr>
      </w:pPr>
    </w:p>
    <w:p w14:paraId="08BB35D3" w14:textId="77777777" w:rsidR="00047EA6" w:rsidRPr="00A84443" w:rsidRDefault="003B738A">
      <w:pPr>
        <w:pStyle w:val="Heading2"/>
        <w:numPr>
          <w:ilvl w:val="0"/>
          <w:numId w:val="1"/>
        </w:numPr>
        <w:tabs>
          <w:tab w:val="left" w:pos="839"/>
        </w:tabs>
        <w:ind w:hanging="361"/>
        <w:rPr>
          <w:lang w:val="sr-Latn-RS"/>
        </w:rPr>
      </w:pPr>
      <w:r w:rsidRPr="00A84443">
        <w:rPr>
          <w:lang w:val="sr-Latn-RS"/>
        </w:rPr>
        <w:t xml:space="preserve">Odstupanje u vanrednim okolnostima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15 E</w:t>
      </w:r>
      <w:r w:rsidRPr="00A84443">
        <w:rPr>
          <w:lang w:val="sr-Latn-RS"/>
        </w:rPr>
        <w:t>v</w:t>
      </w:r>
      <w:r w:rsidR="00387B35" w:rsidRPr="00A84443">
        <w:rPr>
          <w:lang w:val="sr-Latn-RS"/>
        </w:rPr>
        <w:t>rop</w:t>
      </w:r>
      <w:r w:rsidRPr="00A84443">
        <w:rPr>
          <w:lang w:val="sr-Latn-RS"/>
        </w:rPr>
        <w:t>ske konvencije o ljudskim pravima</w:t>
      </w:r>
      <w:r w:rsidR="00387B35" w:rsidRPr="00A84443">
        <w:rPr>
          <w:lang w:val="sr-Latn-RS"/>
        </w:rPr>
        <w:t>)</w:t>
      </w:r>
    </w:p>
    <w:p w14:paraId="110C90E2" w14:textId="77777777" w:rsidR="00047EA6" w:rsidRPr="00A84443" w:rsidRDefault="00047EA6">
      <w:pPr>
        <w:pStyle w:val="BodyText"/>
        <w:spacing w:before="2"/>
        <w:rPr>
          <w:b/>
          <w:sz w:val="24"/>
          <w:lang w:val="sr-Latn-RS"/>
        </w:rPr>
      </w:pPr>
    </w:p>
    <w:p w14:paraId="2A1EEE8B" w14:textId="2DBE889D" w:rsidR="00047EA6" w:rsidRPr="00A84443" w:rsidRDefault="003B738A">
      <w:pPr>
        <w:pStyle w:val="BodyText"/>
        <w:ind w:left="117" w:right="417"/>
        <w:jc w:val="both"/>
        <w:rPr>
          <w:sz w:val="14"/>
          <w:lang w:val="sr-Latn-RS"/>
        </w:rPr>
      </w:pPr>
      <w:r w:rsidRPr="00A84443">
        <w:rPr>
          <w:lang w:val="sr-Latn-RS"/>
        </w:rPr>
        <w:t>Obim m</w:t>
      </w:r>
      <w:r w:rsidR="00406110">
        <w:rPr>
          <w:lang w:val="sr-Latn-RS"/>
        </w:rPr>
        <w:t>j</w:t>
      </w:r>
      <w:r w:rsidRPr="00A84443">
        <w:rPr>
          <w:lang w:val="sr-Latn-RS"/>
        </w:rPr>
        <w:t>era koje se preduzimaju u odgovoru na trenutnu pr</w:t>
      </w:r>
      <w:r w:rsidR="00406110">
        <w:rPr>
          <w:lang w:val="sr-Latn-RS"/>
        </w:rPr>
        <w:t>ij</w:t>
      </w:r>
      <w:r w:rsidRPr="00A84443">
        <w:rPr>
          <w:lang w:val="sr-Latn-RS"/>
        </w:rPr>
        <w:t xml:space="preserve">etnju </w:t>
      </w:r>
      <w:r w:rsidR="00387B35" w:rsidRPr="00A84443">
        <w:rPr>
          <w:lang w:val="sr-Latn-RS"/>
        </w:rPr>
        <w:t>COVID-</w:t>
      </w:r>
      <w:r w:rsidRPr="00A84443">
        <w:rPr>
          <w:lang w:val="sr-Latn-RS"/>
        </w:rPr>
        <w:t xml:space="preserve">a </w:t>
      </w:r>
      <w:r w:rsidR="00387B35" w:rsidRPr="00A84443">
        <w:rPr>
          <w:lang w:val="sr-Latn-RS"/>
        </w:rPr>
        <w:t xml:space="preserve">19 </w:t>
      </w:r>
      <w:r w:rsidRPr="00A84443">
        <w:rPr>
          <w:lang w:val="sr-Latn-RS"/>
        </w:rPr>
        <w:t>i način na koji se sprovode</w:t>
      </w:r>
      <w:r w:rsidR="002D63B6">
        <w:rPr>
          <w:lang w:val="sr-Latn-RS"/>
        </w:rPr>
        <w:t>,</w:t>
      </w:r>
      <w:r w:rsidRPr="00A84443">
        <w:rPr>
          <w:lang w:val="sr-Latn-RS"/>
        </w:rPr>
        <w:t xml:space="preserve"> u značajnoj m</w:t>
      </w:r>
      <w:r w:rsidR="00406110">
        <w:rPr>
          <w:lang w:val="sr-Latn-RS"/>
        </w:rPr>
        <w:t>j</w:t>
      </w:r>
      <w:r w:rsidRPr="00A84443">
        <w:rPr>
          <w:lang w:val="sr-Latn-RS"/>
        </w:rPr>
        <w:t xml:space="preserve">eri se </w:t>
      </w:r>
      <w:r w:rsidRPr="00844359">
        <w:rPr>
          <w:lang w:val="sr-Latn-RS"/>
        </w:rPr>
        <w:t>razlikuj</w:t>
      </w:r>
      <w:r w:rsidR="00DD0F7D" w:rsidRPr="00844359">
        <w:rPr>
          <w:lang w:val="sr-Latn-RS"/>
        </w:rPr>
        <w:t>u</w:t>
      </w:r>
      <w:r w:rsidRPr="00844359">
        <w:rPr>
          <w:lang w:val="sr-Latn-RS"/>
        </w:rPr>
        <w:t xml:space="preserve"> od jedne države do druge u </w:t>
      </w:r>
      <w:r w:rsidR="000B0B98" w:rsidRPr="00844359">
        <w:rPr>
          <w:lang w:val="sr-Latn-RS"/>
        </w:rPr>
        <w:t>različitim</w:t>
      </w:r>
      <w:r w:rsidR="00844359" w:rsidRPr="00844359">
        <w:rPr>
          <w:lang w:val="sr-Latn-RS"/>
        </w:rPr>
        <w:t xml:space="preserve"> vremenskim periodima</w:t>
      </w:r>
      <w:r w:rsidR="00387B35" w:rsidRPr="00844359">
        <w:rPr>
          <w:lang w:val="sr-Latn-RS"/>
        </w:rPr>
        <w:t>.</w:t>
      </w:r>
      <w:r w:rsidR="00387B35" w:rsidRPr="00844359">
        <w:rPr>
          <w:spacing w:val="-8"/>
          <w:lang w:val="sr-Latn-RS"/>
        </w:rPr>
        <w:t xml:space="preserve"> </w:t>
      </w:r>
      <w:r w:rsidRPr="00844359">
        <w:rPr>
          <w:spacing w:val="-8"/>
          <w:lang w:val="sr-Latn-RS"/>
        </w:rPr>
        <w:t>Iako određene restriktivne</w:t>
      </w:r>
      <w:r w:rsidRPr="00A84443">
        <w:rPr>
          <w:spacing w:val="-8"/>
          <w:lang w:val="sr-Latn-RS"/>
        </w:rPr>
        <w:t xml:space="preserve"> m</w:t>
      </w:r>
      <w:r w:rsidR="00406110">
        <w:rPr>
          <w:spacing w:val="-8"/>
          <w:lang w:val="sr-Latn-RS"/>
        </w:rPr>
        <w:t>j</w:t>
      </w:r>
      <w:r w:rsidRPr="00A84443">
        <w:rPr>
          <w:spacing w:val="-8"/>
          <w:lang w:val="sr-Latn-RS"/>
        </w:rPr>
        <w:t xml:space="preserve">ere koje države članice usvajaju mogu da budu opravdane na osnovu uobičajenih odredbi </w:t>
      </w:r>
      <w:r w:rsidR="00387B35" w:rsidRPr="00A84443">
        <w:rPr>
          <w:lang w:val="sr-Latn-RS"/>
        </w:rPr>
        <w:t>E</w:t>
      </w:r>
      <w:r w:rsidRPr="00A84443">
        <w:rPr>
          <w:lang w:val="sr-Latn-RS"/>
        </w:rPr>
        <w:t>v</w:t>
      </w:r>
      <w:r w:rsidR="00387B35" w:rsidRPr="00A84443">
        <w:rPr>
          <w:lang w:val="sr-Latn-RS"/>
        </w:rPr>
        <w:t>rop</w:t>
      </w:r>
      <w:r w:rsidRPr="00A84443">
        <w:rPr>
          <w:lang w:val="sr-Latn-RS"/>
        </w:rPr>
        <w:t>ske konvencije o ljudskim pravima</w:t>
      </w:r>
      <w:r w:rsidR="00387B35" w:rsidRPr="00A84443">
        <w:rPr>
          <w:spacing w:val="-10"/>
          <w:lang w:val="sr-Latn-RS"/>
        </w:rPr>
        <w:t xml:space="preserve">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cija</w:t>
      </w:r>
      <w:r w:rsidR="00387B35" w:rsidRPr="00A84443">
        <w:rPr>
          <w:lang w:val="sr-Latn-RS"/>
        </w:rPr>
        <w:t>)</w:t>
      </w:r>
      <w:r w:rsidR="00387B35" w:rsidRPr="00A84443">
        <w:rPr>
          <w:spacing w:val="-7"/>
          <w:lang w:val="sr-Latn-RS"/>
        </w:rPr>
        <w:t xml:space="preserve"> </w:t>
      </w:r>
      <w:r w:rsidRPr="00A84443">
        <w:rPr>
          <w:spacing w:val="-7"/>
          <w:lang w:val="sr-Latn-RS"/>
        </w:rPr>
        <w:t>u vezi sa zaštitom zdravlja</w:t>
      </w:r>
      <w:r w:rsidR="00387B35" w:rsidRPr="00A84443">
        <w:rPr>
          <w:spacing w:val="-10"/>
          <w:lang w:val="sr-Latn-RS"/>
        </w:rPr>
        <w:t xml:space="preserve">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>vid</w:t>
      </w:r>
      <w:r w:rsidR="00406110">
        <w:rPr>
          <w:lang w:val="sr-Latn-RS"/>
        </w:rPr>
        <w:t>j</w:t>
      </w:r>
      <w:r w:rsidRPr="00A84443">
        <w:rPr>
          <w:lang w:val="sr-Latn-RS"/>
        </w:rPr>
        <w:t xml:space="preserve">eti Član </w:t>
      </w:r>
      <w:r w:rsidR="00387B35" w:rsidRPr="00A84443">
        <w:rPr>
          <w:lang w:val="sr-Latn-RS"/>
        </w:rPr>
        <w:t>5</w:t>
      </w:r>
      <w:r w:rsidRPr="00A84443">
        <w:rPr>
          <w:lang w:val="sr-Latn-RS"/>
        </w:rPr>
        <w:t xml:space="preserve">, stav </w:t>
      </w:r>
      <w:r w:rsidR="00387B35" w:rsidRPr="00A84443">
        <w:rPr>
          <w:lang w:val="sr-Latn-RS"/>
        </w:rPr>
        <w:t xml:space="preserve">1e, </w:t>
      </w:r>
      <w:r w:rsidRPr="00A84443">
        <w:rPr>
          <w:lang w:val="sr-Latn-RS"/>
        </w:rPr>
        <w:t xml:space="preserve">i stav </w:t>
      </w:r>
      <w:r w:rsidR="00387B35" w:rsidRPr="00A84443">
        <w:rPr>
          <w:lang w:val="sr-Latn-RS"/>
        </w:rPr>
        <w:t xml:space="preserve">2 </w:t>
      </w:r>
      <w:r w:rsidRPr="00A84443">
        <w:rPr>
          <w:lang w:val="sr-Latn-RS"/>
        </w:rPr>
        <w:t xml:space="preserve">Članova </w:t>
      </w:r>
      <w:r w:rsidR="00387B35" w:rsidRPr="00A84443">
        <w:rPr>
          <w:lang w:val="sr-Latn-RS"/>
        </w:rPr>
        <w:t xml:space="preserve">8 </w:t>
      </w:r>
      <w:r w:rsidRPr="00A84443">
        <w:rPr>
          <w:lang w:val="sr-Latn-RS"/>
        </w:rPr>
        <w:t>d</w:t>
      </w:r>
      <w:r w:rsidR="00387B35" w:rsidRPr="00A84443">
        <w:rPr>
          <w:lang w:val="sr-Latn-RS"/>
        </w:rPr>
        <w:t xml:space="preserve">o 11 </w:t>
      </w:r>
      <w:r w:rsidRPr="00A84443">
        <w:rPr>
          <w:lang w:val="sr-Latn-RS"/>
        </w:rPr>
        <w:t xml:space="preserve">Konvencije, i Član </w:t>
      </w:r>
      <w:r w:rsidR="00387B35" w:rsidRPr="00A84443">
        <w:rPr>
          <w:lang w:val="sr-Latn-RS"/>
        </w:rPr>
        <w:t>2</w:t>
      </w:r>
      <w:r w:rsidRPr="00A84443">
        <w:rPr>
          <w:lang w:val="sr-Latn-RS"/>
        </w:rPr>
        <w:t xml:space="preserve">, stav </w:t>
      </w:r>
      <w:r w:rsidR="00387B35" w:rsidRPr="00A84443">
        <w:rPr>
          <w:lang w:val="sr-Latn-RS"/>
        </w:rPr>
        <w:t>3 Proto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ol</w:t>
      </w:r>
      <w:r w:rsidRPr="00A84443">
        <w:rPr>
          <w:lang w:val="sr-Latn-RS"/>
        </w:rPr>
        <w:t>a</w:t>
      </w:r>
      <w:r w:rsidR="00387B35" w:rsidRPr="00A84443">
        <w:rPr>
          <w:lang w:val="sr-Latn-RS"/>
        </w:rPr>
        <w:t xml:space="preserve"> </w:t>
      </w:r>
      <w:r w:rsidRPr="00A84443">
        <w:rPr>
          <w:lang w:val="sr-Latn-RS"/>
        </w:rPr>
        <w:t xml:space="preserve">br. </w:t>
      </w:r>
      <w:r w:rsidR="00387B35" w:rsidRPr="00A84443">
        <w:rPr>
          <w:lang w:val="sr-Latn-RS"/>
        </w:rPr>
        <w:t xml:space="preserve">4 </w:t>
      </w:r>
      <w:r w:rsidRPr="00A84443">
        <w:rPr>
          <w:lang w:val="sr-Latn-RS"/>
        </w:rPr>
        <w:t>Konvencije</w:t>
      </w:r>
      <w:r w:rsidR="00387B35" w:rsidRPr="00A84443">
        <w:rPr>
          <w:lang w:val="sr-Latn-RS"/>
        </w:rPr>
        <w:t>), m</w:t>
      </w:r>
      <w:r w:rsidR="00406110">
        <w:rPr>
          <w:lang w:val="sr-Latn-RS"/>
        </w:rPr>
        <w:t>j</w:t>
      </w:r>
      <w:r w:rsidR="00387B35" w:rsidRPr="00A84443">
        <w:rPr>
          <w:lang w:val="sr-Latn-RS"/>
        </w:rPr>
        <w:t>e</w:t>
      </w:r>
      <w:r w:rsidRPr="00A84443">
        <w:rPr>
          <w:lang w:val="sr-Latn-RS"/>
        </w:rPr>
        <w:t xml:space="preserve">re </w:t>
      </w:r>
      <w:r w:rsidR="00DD0F7D" w:rsidRPr="00A84443">
        <w:rPr>
          <w:lang w:val="sr-Latn-RS"/>
        </w:rPr>
        <w:t xml:space="preserve">vanredne </w:t>
      </w:r>
      <w:r w:rsidRPr="00A84443">
        <w:rPr>
          <w:lang w:val="sr-Latn-RS"/>
        </w:rPr>
        <w:t>prirode mogu da zaht</w:t>
      </w:r>
      <w:r w:rsidR="00406110">
        <w:rPr>
          <w:lang w:val="sr-Latn-RS"/>
        </w:rPr>
        <w:t>j</w:t>
      </w:r>
      <w:r w:rsidRPr="00A84443">
        <w:rPr>
          <w:lang w:val="sr-Latn-RS"/>
        </w:rPr>
        <w:t>evaju odstupanje od obaveza država po Konvenciji</w:t>
      </w:r>
      <w:r w:rsidR="00387B35" w:rsidRPr="00A84443">
        <w:rPr>
          <w:lang w:val="sr-Latn-RS"/>
        </w:rPr>
        <w:t>.</w:t>
      </w:r>
      <w:r w:rsidR="00387B35" w:rsidRPr="00A84443">
        <w:rPr>
          <w:spacing w:val="-15"/>
          <w:lang w:val="sr-Latn-RS"/>
        </w:rPr>
        <w:t xml:space="preserve"> </w:t>
      </w:r>
      <w:r w:rsidRPr="00A84443">
        <w:rPr>
          <w:lang w:val="sr-Latn-RS"/>
        </w:rPr>
        <w:t>Na svakoj je državi da proc</w:t>
      </w:r>
      <w:r w:rsidR="00406110">
        <w:rPr>
          <w:lang w:val="sr-Latn-RS"/>
        </w:rPr>
        <w:t>ij</w:t>
      </w:r>
      <w:r w:rsidRPr="00A84443">
        <w:rPr>
          <w:lang w:val="sr-Latn-RS"/>
        </w:rPr>
        <w:t>eni da li m</w:t>
      </w:r>
      <w:r w:rsidR="00406110">
        <w:rPr>
          <w:lang w:val="sr-Latn-RS"/>
        </w:rPr>
        <w:t>j</w:t>
      </w:r>
      <w:r w:rsidRPr="00A84443">
        <w:rPr>
          <w:lang w:val="sr-Latn-RS"/>
        </w:rPr>
        <w:t>ere koje usvaja zaht</w:t>
      </w:r>
      <w:r w:rsidR="00406110">
        <w:rPr>
          <w:lang w:val="sr-Latn-RS"/>
        </w:rPr>
        <w:t>j</w:t>
      </w:r>
      <w:r w:rsidRPr="00A84443">
        <w:rPr>
          <w:lang w:val="sr-Latn-RS"/>
        </w:rPr>
        <w:t>evaju takva odstupanja, zavisno od prirode i obima ograničenja koja se prim</w:t>
      </w:r>
      <w:r w:rsidR="00406110">
        <w:rPr>
          <w:lang w:val="sr-Latn-RS"/>
        </w:rPr>
        <w:t>ij</w:t>
      </w:r>
      <w:r w:rsidRPr="00A84443">
        <w:rPr>
          <w:lang w:val="sr-Latn-RS"/>
        </w:rPr>
        <w:t>enjuju u odnosu na prava i slobode koje Konvencija štiti.</w:t>
      </w:r>
      <w:r w:rsidR="00387B35" w:rsidRPr="00A84443">
        <w:rPr>
          <w:spacing w:val="-4"/>
          <w:lang w:val="sr-Latn-RS"/>
        </w:rPr>
        <w:t xml:space="preserve"> </w:t>
      </w:r>
      <w:r w:rsidR="003046D3" w:rsidRPr="003046D3">
        <w:rPr>
          <w:lang w:val="sr-Latn-RS"/>
        </w:rPr>
        <w:t xml:space="preserve">Mogućnost </w:t>
      </w:r>
      <w:r w:rsidRPr="003046D3">
        <w:rPr>
          <w:lang w:val="sr-Latn-RS"/>
        </w:rPr>
        <w:t>drža</w:t>
      </w:r>
      <w:r w:rsidR="003046D3" w:rsidRPr="003046D3">
        <w:rPr>
          <w:lang w:val="sr-Latn-RS"/>
        </w:rPr>
        <w:t>va</w:t>
      </w:r>
      <w:r w:rsidRPr="00A84443">
        <w:rPr>
          <w:lang w:val="sr-Latn-RS"/>
        </w:rPr>
        <w:t xml:space="preserve"> da to urade predstavlja važnu karakteristiku ovog sistema, čime se omogućava </w:t>
      </w:r>
      <w:r w:rsidR="00802B9D" w:rsidRPr="00A84443">
        <w:rPr>
          <w:lang w:val="sr-Latn-RS"/>
        </w:rPr>
        <w:t>neprekidna pri</w:t>
      </w:r>
      <w:r w:rsidR="00406110">
        <w:rPr>
          <w:lang w:val="sr-Latn-RS"/>
        </w:rPr>
        <w:t>j</w:t>
      </w:r>
      <w:r w:rsidR="00802B9D" w:rsidRPr="00A84443">
        <w:rPr>
          <w:lang w:val="sr-Latn-RS"/>
        </w:rPr>
        <w:t>mena Konvencije i nadzornih mehanizama po Konvenciji čak i u najkritičnijim vremenima</w:t>
      </w:r>
      <w:r w:rsidR="00387B35" w:rsidRPr="00A84443">
        <w:rPr>
          <w:lang w:val="sr-Latn-RS"/>
        </w:rPr>
        <w:t>.</w:t>
      </w:r>
      <w:r w:rsidR="00BC17AD">
        <w:rPr>
          <w:rStyle w:val="FootnoteReference"/>
          <w:position w:val="8"/>
          <w:sz w:val="14"/>
          <w:lang w:val="sr-Latn-RS"/>
        </w:rPr>
        <w:footnoteReference w:id="1"/>
      </w:r>
    </w:p>
    <w:p w14:paraId="7FB2060F" w14:textId="77777777" w:rsidR="00047EA6" w:rsidRPr="00A84443" w:rsidRDefault="00047EA6">
      <w:pPr>
        <w:pStyle w:val="BodyText"/>
        <w:spacing w:before="3"/>
        <w:rPr>
          <w:sz w:val="24"/>
          <w:lang w:val="sr-Latn-RS"/>
        </w:rPr>
      </w:pPr>
    </w:p>
    <w:p w14:paraId="6B9F7D29" w14:textId="044692C9" w:rsidR="00047EA6" w:rsidRPr="00A84443" w:rsidRDefault="00802B9D">
      <w:pPr>
        <w:spacing w:line="237" w:lineRule="auto"/>
        <w:ind w:left="117" w:right="415"/>
        <w:jc w:val="both"/>
        <w:rPr>
          <w:sz w:val="14"/>
          <w:lang w:val="sr-Latn-RS"/>
        </w:rPr>
      </w:pPr>
      <w:r w:rsidRPr="00A84443">
        <w:rPr>
          <w:lang w:val="sr-Latn-RS"/>
        </w:rPr>
        <w:t>Svako odstupanje će proc</w:t>
      </w:r>
      <w:r w:rsidR="00406110">
        <w:rPr>
          <w:lang w:val="sr-Latn-RS"/>
        </w:rPr>
        <w:t>j</w:t>
      </w:r>
      <w:r w:rsidRPr="00A84443">
        <w:rPr>
          <w:lang w:val="sr-Latn-RS"/>
        </w:rPr>
        <w:t xml:space="preserve">enjivati </w:t>
      </w:r>
      <w:r w:rsidR="0070455C" w:rsidRPr="00A84443">
        <w:rPr>
          <w:lang w:val="sr-Latn-RS"/>
        </w:rPr>
        <w:t>Evropski sud za ljudska prava</w:t>
      </w:r>
      <w:r w:rsidR="00387B35" w:rsidRPr="00A84443">
        <w:rPr>
          <w:lang w:val="sr-Latn-RS"/>
        </w:rPr>
        <w:t xml:space="preserve"> (</w:t>
      </w:r>
      <w:r w:rsidR="0070455C" w:rsidRPr="00A84443">
        <w:rPr>
          <w:lang w:val="sr-Latn-RS"/>
        </w:rPr>
        <w:t>Sud</w:t>
      </w:r>
      <w:r w:rsidR="00387B35" w:rsidRPr="00A84443">
        <w:rPr>
          <w:lang w:val="sr-Latn-RS"/>
        </w:rPr>
        <w:t xml:space="preserve">) </w:t>
      </w:r>
      <w:r w:rsidR="0070455C" w:rsidRPr="00A84443">
        <w:rPr>
          <w:lang w:val="sr-Latn-RS"/>
        </w:rPr>
        <w:t>u predmetima koji pred njim budu pokrenuti</w:t>
      </w:r>
      <w:r w:rsidR="00FE1DD8">
        <w:rPr>
          <w:rStyle w:val="FootnoteReference"/>
          <w:position w:val="8"/>
          <w:sz w:val="14"/>
          <w:lang w:val="sr-Latn-RS"/>
        </w:rPr>
        <w:footnoteReference w:id="2"/>
      </w:r>
      <w:r w:rsidR="00387B35" w:rsidRPr="00A84443">
        <w:rPr>
          <w:lang w:val="sr-Latn-RS"/>
        </w:rPr>
        <w:t>.</w:t>
      </w:r>
      <w:r w:rsidR="00387B35" w:rsidRPr="00A84443">
        <w:rPr>
          <w:spacing w:val="-7"/>
          <w:lang w:val="sr-Latn-RS"/>
        </w:rPr>
        <w:t xml:space="preserve"> </w:t>
      </w:r>
      <w:r w:rsidR="0070455C" w:rsidRPr="00A84443">
        <w:rPr>
          <w:lang w:val="sr-Latn-RS"/>
        </w:rPr>
        <w:t>Sud državama daje široko polje slobodne proc</w:t>
      </w:r>
      <w:r w:rsidR="00406110">
        <w:rPr>
          <w:lang w:val="sr-Latn-RS"/>
        </w:rPr>
        <w:t>j</w:t>
      </w:r>
      <w:r w:rsidR="0070455C" w:rsidRPr="00A84443">
        <w:rPr>
          <w:lang w:val="sr-Latn-RS"/>
        </w:rPr>
        <w:t>ene u ovoj oblasti</w:t>
      </w:r>
      <w:r w:rsidR="00387B35" w:rsidRPr="00A84443">
        <w:rPr>
          <w:lang w:val="sr-Latn-RS"/>
        </w:rPr>
        <w:t>:</w:t>
      </w:r>
      <w:r w:rsidR="00387B35" w:rsidRPr="00A84443">
        <w:rPr>
          <w:spacing w:val="-7"/>
          <w:lang w:val="sr-Latn-RS"/>
        </w:rPr>
        <w:t xml:space="preserve"> </w:t>
      </w:r>
      <w:r w:rsidR="00387B35" w:rsidRPr="00A84443">
        <w:rPr>
          <w:lang w:val="sr-Latn-RS"/>
        </w:rPr>
        <w:t>“</w:t>
      </w:r>
      <w:r w:rsidR="00B5364E" w:rsidRPr="00A84443">
        <w:rPr>
          <w:i/>
          <w:lang w:val="sr-Latn-RS"/>
        </w:rPr>
        <w:t xml:space="preserve">Na svakoj je pojedinačnoj strani ugovornici, kao prvo, u pogledu njene odgovornosti za </w:t>
      </w:r>
      <w:r w:rsidR="00387B35" w:rsidRPr="00A84443">
        <w:rPr>
          <w:i/>
          <w:lang w:val="sr-Latn-RS"/>
        </w:rPr>
        <w:t>‘</w:t>
      </w:r>
      <w:r w:rsidR="00B5364E" w:rsidRPr="00A84443">
        <w:rPr>
          <w:i/>
          <w:lang w:val="sr-Latn-RS"/>
        </w:rPr>
        <w:t>život na</w:t>
      </w:r>
      <w:r w:rsidR="00265F78" w:rsidRPr="00A84443">
        <w:rPr>
          <w:i/>
          <w:lang w:val="sr-Latn-RS"/>
        </w:rPr>
        <w:t>cije</w:t>
      </w:r>
      <w:r w:rsidR="00387B35" w:rsidRPr="00A84443">
        <w:rPr>
          <w:i/>
          <w:lang w:val="sr-Latn-RS"/>
        </w:rPr>
        <w:t xml:space="preserve">’, </w:t>
      </w:r>
      <w:r w:rsidR="00B5364E" w:rsidRPr="00A84443">
        <w:rPr>
          <w:i/>
          <w:lang w:val="sr-Latn-RS"/>
        </w:rPr>
        <w:t xml:space="preserve">da utvrdi da li je taj život pod </w:t>
      </w:r>
      <w:r w:rsidR="00B5364E" w:rsidRPr="00EC5997">
        <w:rPr>
          <w:i/>
          <w:shd w:val="clear" w:color="auto" w:fill="FFFFFF" w:themeFill="background1"/>
          <w:lang w:val="sr-Latn-RS"/>
        </w:rPr>
        <w:t>pr</w:t>
      </w:r>
      <w:r w:rsidR="00406110">
        <w:rPr>
          <w:i/>
          <w:shd w:val="clear" w:color="auto" w:fill="FFFFFF" w:themeFill="background1"/>
          <w:lang w:val="sr-Latn-RS"/>
        </w:rPr>
        <w:t>ij</w:t>
      </w:r>
      <w:r w:rsidR="00B5364E" w:rsidRPr="00EC5997">
        <w:rPr>
          <w:i/>
          <w:shd w:val="clear" w:color="auto" w:fill="FFFFFF" w:themeFill="background1"/>
          <w:lang w:val="sr-Latn-RS"/>
        </w:rPr>
        <w:t xml:space="preserve">etnjom </w:t>
      </w:r>
      <w:r w:rsidR="00387B35" w:rsidRPr="00EC5997">
        <w:rPr>
          <w:i/>
          <w:shd w:val="clear" w:color="auto" w:fill="FFFFFF" w:themeFill="background1"/>
          <w:lang w:val="sr-Latn-RS"/>
        </w:rPr>
        <w:t>‘</w:t>
      </w:r>
      <w:r w:rsidR="00B5364E" w:rsidRPr="00EC5997">
        <w:rPr>
          <w:i/>
          <w:shd w:val="clear" w:color="auto" w:fill="FFFFFF" w:themeFill="background1"/>
          <w:lang w:val="sr-Latn-RS"/>
        </w:rPr>
        <w:t>javn</w:t>
      </w:r>
      <w:r w:rsidR="00265F78" w:rsidRPr="00EC5997">
        <w:rPr>
          <w:i/>
          <w:shd w:val="clear" w:color="auto" w:fill="FFFFFF" w:themeFill="background1"/>
          <w:lang w:val="sr-Latn-RS"/>
        </w:rPr>
        <w:t>e</w:t>
      </w:r>
      <w:r w:rsidR="00B5364E" w:rsidRPr="00EC5997">
        <w:rPr>
          <w:i/>
          <w:shd w:val="clear" w:color="auto" w:fill="FFFFFF" w:themeFill="background1"/>
          <w:lang w:val="sr-Latn-RS"/>
        </w:rPr>
        <w:t xml:space="preserve"> </w:t>
      </w:r>
      <w:r w:rsidR="007D11A3" w:rsidRPr="00EC5997">
        <w:rPr>
          <w:i/>
          <w:shd w:val="clear" w:color="auto" w:fill="FFFFFF" w:themeFill="background1"/>
          <w:lang w:val="sr-Latn-RS"/>
        </w:rPr>
        <w:t>opasnosti</w:t>
      </w:r>
      <w:r w:rsidR="00387B35" w:rsidRPr="00EC5997">
        <w:rPr>
          <w:i/>
          <w:shd w:val="clear" w:color="auto" w:fill="FFFFFF" w:themeFill="background1"/>
          <w:lang w:val="sr-Latn-RS"/>
        </w:rPr>
        <w:t>’</w:t>
      </w:r>
      <w:r w:rsidR="00387B35" w:rsidRPr="00A84443">
        <w:rPr>
          <w:i/>
          <w:lang w:val="sr-Latn-RS"/>
        </w:rPr>
        <w:t xml:space="preserve"> </w:t>
      </w:r>
      <w:r w:rsidR="00B5364E" w:rsidRPr="00A84443">
        <w:rPr>
          <w:i/>
          <w:lang w:val="sr-Latn-RS"/>
        </w:rPr>
        <w:t xml:space="preserve">i, ukoliko jeste, koliko daleko je potrebno ići u pokušaju da se ta </w:t>
      </w:r>
      <w:r w:rsidR="00710B65" w:rsidRPr="00A84443">
        <w:rPr>
          <w:i/>
          <w:lang w:val="sr-Latn-RS"/>
        </w:rPr>
        <w:t xml:space="preserve">opasnost </w:t>
      </w:r>
      <w:r w:rsidR="00B5364E" w:rsidRPr="00A84443">
        <w:rPr>
          <w:i/>
          <w:lang w:val="sr-Latn-RS"/>
        </w:rPr>
        <w:t>prevaziđe</w:t>
      </w:r>
      <w:r w:rsidR="00387B35" w:rsidRPr="00A84443">
        <w:rPr>
          <w:i/>
          <w:lang w:val="sr-Latn-RS"/>
        </w:rPr>
        <w:t xml:space="preserve">. </w:t>
      </w:r>
      <w:r w:rsidR="00265F78" w:rsidRPr="00A84443">
        <w:rPr>
          <w:i/>
          <w:lang w:val="sr-Latn-RS"/>
        </w:rPr>
        <w:t>Imajući u vidu njihov direktan i kontinuirani kontakt sa hitnim potrebama dato</w:t>
      </w:r>
      <w:r w:rsidR="00665298" w:rsidRPr="00A84443">
        <w:rPr>
          <w:i/>
          <w:lang w:val="sr-Latn-RS"/>
        </w:rPr>
        <w:t>g</w:t>
      </w:r>
      <w:r w:rsidR="00265F78" w:rsidRPr="00A84443">
        <w:rPr>
          <w:i/>
          <w:lang w:val="sr-Latn-RS"/>
        </w:rPr>
        <w:t xml:space="preserve"> trenutka, nacionalni organi su u načelu u boljoj </w:t>
      </w:r>
      <w:r w:rsidR="00265F78" w:rsidRPr="00EC5997">
        <w:rPr>
          <w:i/>
          <w:lang w:val="sr-Latn-RS"/>
        </w:rPr>
        <w:t>poziciji od međunarodn</w:t>
      </w:r>
      <w:r w:rsidR="00760CFB" w:rsidRPr="00EC5997">
        <w:rPr>
          <w:i/>
          <w:lang w:val="sr-Latn-RS"/>
        </w:rPr>
        <w:t>og</w:t>
      </w:r>
      <w:r w:rsidR="00265F78" w:rsidRPr="00EC5997">
        <w:rPr>
          <w:i/>
          <w:lang w:val="sr-Latn-RS"/>
        </w:rPr>
        <w:t xml:space="preserve"> sudij</w:t>
      </w:r>
      <w:r w:rsidR="00760CFB" w:rsidRPr="00EC5997">
        <w:rPr>
          <w:i/>
          <w:lang w:val="sr-Latn-RS"/>
        </w:rPr>
        <w:t>e</w:t>
      </w:r>
      <w:r w:rsidR="00265F78" w:rsidRPr="00A84443">
        <w:rPr>
          <w:i/>
          <w:lang w:val="sr-Latn-RS"/>
        </w:rPr>
        <w:t xml:space="preserve"> da odlučuju kako o prisustvu takve </w:t>
      </w:r>
      <w:r w:rsidR="00710B65" w:rsidRPr="00A84443">
        <w:rPr>
          <w:i/>
          <w:lang w:val="sr-Latn-RS"/>
        </w:rPr>
        <w:t xml:space="preserve">opasnosti </w:t>
      </w:r>
      <w:r w:rsidR="00265F78" w:rsidRPr="00A84443">
        <w:rPr>
          <w:i/>
          <w:lang w:val="sr-Latn-RS"/>
        </w:rPr>
        <w:t>tako i o prirodi i obimu odstupanja koja su neophodna za odgovor na nju</w:t>
      </w:r>
      <w:r w:rsidR="00387B35" w:rsidRPr="00A84443">
        <w:rPr>
          <w:i/>
          <w:lang w:val="sr-Latn-RS"/>
        </w:rPr>
        <w:t xml:space="preserve">. </w:t>
      </w:r>
      <w:r w:rsidR="00265F78" w:rsidRPr="00A84443">
        <w:rPr>
          <w:i/>
          <w:lang w:val="sr-Latn-RS"/>
        </w:rPr>
        <w:t xml:space="preserve">Po ovom pitanju Član </w:t>
      </w:r>
      <w:r w:rsidR="00387B35" w:rsidRPr="00A84443">
        <w:rPr>
          <w:i/>
          <w:lang w:val="sr-Latn-RS"/>
        </w:rPr>
        <w:t xml:space="preserve">15 § 1 (...) </w:t>
      </w:r>
      <w:r w:rsidR="00265F78" w:rsidRPr="00A84443">
        <w:rPr>
          <w:i/>
          <w:lang w:val="sr-Latn-RS"/>
        </w:rPr>
        <w:t>ostavlja tim nacionalnim organima široko polje slobodne proc</w:t>
      </w:r>
      <w:r w:rsidR="00406110">
        <w:rPr>
          <w:i/>
          <w:lang w:val="sr-Latn-RS"/>
        </w:rPr>
        <w:t>j</w:t>
      </w:r>
      <w:r w:rsidR="00265F78" w:rsidRPr="00A84443">
        <w:rPr>
          <w:i/>
          <w:lang w:val="sr-Latn-RS"/>
        </w:rPr>
        <w:t>ene</w:t>
      </w:r>
      <w:r w:rsidR="00387B35" w:rsidRPr="00A84443">
        <w:rPr>
          <w:i/>
          <w:lang w:val="sr-Latn-RS"/>
        </w:rPr>
        <w:t>.</w:t>
      </w:r>
      <w:r w:rsidR="00387B35" w:rsidRPr="00A84443">
        <w:rPr>
          <w:lang w:val="sr-Latn-RS"/>
        </w:rPr>
        <w:t>”</w:t>
      </w:r>
      <w:r w:rsidR="00FE1DD8">
        <w:rPr>
          <w:rStyle w:val="FootnoteReference"/>
          <w:position w:val="8"/>
          <w:sz w:val="14"/>
          <w:lang w:val="sr-Latn-RS"/>
        </w:rPr>
        <w:footnoteReference w:id="3"/>
      </w:r>
    </w:p>
    <w:p w14:paraId="609176B8" w14:textId="77777777" w:rsidR="00047EA6" w:rsidRPr="00A84443" w:rsidRDefault="00047EA6">
      <w:pPr>
        <w:pStyle w:val="BodyText"/>
        <w:rPr>
          <w:sz w:val="23"/>
          <w:lang w:val="sr-Latn-RS"/>
        </w:rPr>
      </w:pPr>
    </w:p>
    <w:p w14:paraId="47844F2E" w14:textId="639B1625" w:rsidR="00047EA6" w:rsidRPr="00A84443" w:rsidRDefault="008F5130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Odstupanje takođe podl</w:t>
      </w:r>
      <w:r w:rsidR="001E63D7">
        <w:rPr>
          <w:lang w:val="sr-Latn-RS"/>
        </w:rPr>
        <w:t>ij</w:t>
      </w:r>
      <w:r w:rsidRPr="00A84443">
        <w:rPr>
          <w:lang w:val="sr-Latn-RS"/>
        </w:rPr>
        <w:t>eže formalnim uslovima</w:t>
      </w:r>
      <w:r w:rsidR="00387B35" w:rsidRPr="00A84443">
        <w:rPr>
          <w:lang w:val="sr-Latn-RS"/>
        </w:rPr>
        <w:t>:</w:t>
      </w:r>
      <w:r w:rsidR="00387B35" w:rsidRPr="00A84443">
        <w:rPr>
          <w:spacing w:val="-4"/>
          <w:lang w:val="sr-Latn-RS"/>
        </w:rPr>
        <w:t xml:space="preserve"> </w:t>
      </w:r>
      <w:r w:rsidRPr="00A84443">
        <w:rPr>
          <w:spacing w:val="-4"/>
          <w:lang w:val="sr-Latn-RS"/>
        </w:rPr>
        <w:t>Generalni sekretar</w:t>
      </w:r>
      <w:r w:rsidR="001E63D7">
        <w:rPr>
          <w:spacing w:val="-4"/>
          <w:lang w:val="sr-Latn-RS"/>
        </w:rPr>
        <w:t xml:space="preserve"> Vijeća </w:t>
      </w:r>
      <w:r w:rsidRPr="00A84443">
        <w:rPr>
          <w:spacing w:val="-4"/>
          <w:lang w:val="sr-Latn-RS"/>
        </w:rPr>
        <w:t xml:space="preserve">Evrope, kao </w:t>
      </w:r>
      <w:r w:rsidR="00DD0F7D" w:rsidRPr="00A84443">
        <w:rPr>
          <w:spacing w:val="-4"/>
          <w:lang w:val="sr-Latn-RS"/>
        </w:rPr>
        <w:t>depozitorni organ Konvencije</w:t>
      </w:r>
      <w:r w:rsidR="00387B35" w:rsidRPr="00A84443">
        <w:rPr>
          <w:lang w:val="sr-Latn-RS"/>
        </w:rPr>
        <w:t>,</w:t>
      </w:r>
      <w:r w:rsidR="00387B35" w:rsidRPr="00A84443">
        <w:rPr>
          <w:spacing w:val="-9"/>
          <w:lang w:val="sr-Latn-RS"/>
        </w:rPr>
        <w:t xml:space="preserve"> </w:t>
      </w:r>
      <w:r w:rsidR="00387B35" w:rsidRPr="00A84443">
        <w:rPr>
          <w:lang w:val="sr-Latn-RS"/>
        </w:rPr>
        <w:t>m</w:t>
      </w:r>
      <w:r w:rsidRPr="00A84443">
        <w:rPr>
          <w:lang w:val="sr-Latn-RS"/>
        </w:rPr>
        <w:t>ora da bude u c</w:t>
      </w:r>
      <w:r w:rsidR="001E63D7">
        <w:rPr>
          <w:lang w:val="sr-Latn-RS"/>
        </w:rPr>
        <w:t>ij</w:t>
      </w:r>
      <w:r w:rsidRPr="00A84443">
        <w:rPr>
          <w:lang w:val="sr-Latn-RS"/>
        </w:rPr>
        <w:t>elosti informisan o preduzetim m</w:t>
      </w:r>
      <w:r w:rsidR="001E63D7">
        <w:rPr>
          <w:lang w:val="sr-Latn-RS"/>
        </w:rPr>
        <w:t>j</w:t>
      </w:r>
      <w:r w:rsidRPr="00A84443">
        <w:rPr>
          <w:lang w:val="sr-Latn-RS"/>
        </w:rPr>
        <w:t>erama, o razlozima za preduzimanje m</w:t>
      </w:r>
      <w:r w:rsidR="001E63D7">
        <w:rPr>
          <w:lang w:val="sr-Latn-RS"/>
        </w:rPr>
        <w:t>j</w:t>
      </w:r>
      <w:r w:rsidRPr="00A84443">
        <w:rPr>
          <w:lang w:val="sr-Latn-RS"/>
        </w:rPr>
        <w:t>era, i momentu kada te m</w:t>
      </w:r>
      <w:r w:rsidR="001E63D7">
        <w:rPr>
          <w:lang w:val="sr-Latn-RS"/>
        </w:rPr>
        <w:t>j</w:t>
      </w:r>
      <w:r w:rsidRPr="00A84443">
        <w:rPr>
          <w:lang w:val="sr-Latn-RS"/>
        </w:rPr>
        <w:t>ere prestaju da d</w:t>
      </w:r>
      <w:r w:rsidR="001E63D7">
        <w:rPr>
          <w:lang w:val="sr-Latn-RS"/>
        </w:rPr>
        <w:t>j</w:t>
      </w:r>
      <w:r w:rsidRPr="00A84443">
        <w:rPr>
          <w:lang w:val="sr-Latn-RS"/>
        </w:rPr>
        <w:t>eluju</w:t>
      </w:r>
      <w:r w:rsidR="00387B35" w:rsidRPr="00A84443">
        <w:rPr>
          <w:lang w:val="sr-Latn-RS"/>
        </w:rPr>
        <w:t xml:space="preserve"> (</w:t>
      </w:r>
      <w:hyperlink r:id="rId10">
        <w:r w:rsidR="00387B35" w:rsidRPr="00A84443">
          <w:rPr>
            <w:color w:val="315397"/>
            <w:lang w:val="sr-Latn-RS"/>
          </w:rPr>
          <w:t>https://www.coe.int/en/web/conventions/full-list/-/conventions/webContent/62111354</w:t>
        </w:r>
      </w:hyperlink>
      <w:r w:rsidR="00387B35" w:rsidRPr="00A84443">
        <w:rPr>
          <w:lang w:val="sr-Latn-RS"/>
        </w:rPr>
        <w:t>).</w:t>
      </w:r>
    </w:p>
    <w:p w14:paraId="39DE657D" w14:textId="77777777" w:rsidR="00047EA6" w:rsidRPr="00A84443" w:rsidRDefault="00047EA6">
      <w:pPr>
        <w:pStyle w:val="BodyText"/>
        <w:spacing w:before="3"/>
        <w:rPr>
          <w:sz w:val="24"/>
          <w:lang w:val="sr-Latn-RS"/>
        </w:rPr>
      </w:pPr>
    </w:p>
    <w:p w14:paraId="23E834B8" w14:textId="018852D0" w:rsidR="00047EA6" w:rsidRPr="00A84443" w:rsidRDefault="008F5130" w:rsidP="001B161A">
      <w:pPr>
        <w:pStyle w:val="BodyText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>Određena prava po Konvenciji ne dozvoljavaju bilo kakvo odstupanje</w:t>
      </w:r>
      <w:r w:rsidR="00387B35" w:rsidRPr="00A84443">
        <w:rPr>
          <w:lang w:val="sr-Latn-RS"/>
        </w:rPr>
        <w:t xml:space="preserve">: </w:t>
      </w:r>
      <w:r w:rsidRPr="00A84443">
        <w:rPr>
          <w:lang w:val="sr-Latn-RS"/>
        </w:rPr>
        <w:t>pravo na život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osim u kontekstu zakonitih</w:t>
      </w:r>
      <w:r w:rsidR="00AB337A">
        <w:rPr>
          <w:lang w:val="sr-Latn-RS"/>
        </w:rPr>
        <w:t xml:space="preserve"> m</w:t>
      </w:r>
      <w:r w:rsidR="001E63D7">
        <w:rPr>
          <w:lang w:val="sr-Latn-RS"/>
        </w:rPr>
        <w:t>j</w:t>
      </w:r>
      <w:r w:rsidR="00AB337A">
        <w:rPr>
          <w:lang w:val="sr-Latn-RS"/>
        </w:rPr>
        <w:t>era rata</w:t>
      </w:r>
      <w:r w:rsidR="00387B35" w:rsidRPr="00A84443">
        <w:rPr>
          <w:lang w:val="sr-Latn-RS"/>
        </w:rPr>
        <w:t xml:space="preserve"> (</w:t>
      </w:r>
      <w:r w:rsidR="005634B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2), </w:t>
      </w:r>
      <w:r w:rsidR="005634B2" w:rsidRPr="00A84443">
        <w:rPr>
          <w:lang w:val="sr-Latn-RS"/>
        </w:rPr>
        <w:t>zabrana mučenja i nečov</w:t>
      </w:r>
      <w:r w:rsidR="001E63D7">
        <w:rPr>
          <w:lang w:val="sr-Latn-RS"/>
        </w:rPr>
        <w:t>j</w:t>
      </w:r>
      <w:r w:rsidR="005634B2" w:rsidRPr="00A84443">
        <w:rPr>
          <w:lang w:val="sr-Latn-RS"/>
        </w:rPr>
        <w:t>ečnog i ponižavajućeg postupanja ili kažnjavanja</w:t>
      </w:r>
      <w:r w:rsidR="00387B35" w:rsidRPr="00A84443">
        <w:rPr>
          <w:lang w:val="sr-Latn-RS"/>
        </w:rPr>
        <w:t xml:space="preserve"> (</w:t>
      </w:r>
      <w:r w:rsidR="005634B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3), </w:t>
      </w:r>
      <w:r w:rsidR="005634B2" w:rsidRPr="00A84443">
        <w:rPr>
          <w:lang w:val="sr-Latn-RS"/>
        </w:rPr>
        <w:t>zabrana ropstva i prinudnog rada</w:t>
      </w:r>
      <w:r w:rsidR="00387B35" w:rsidRPr="00A84443">
        <w:rPr>
          <w:lang w:val="sr-Latn-RS"/>
        </w:rPr>
        <w:t xml:space="preserve"> (</w:t>
      </w:r>
      <w:r w:rsidR="005634B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4</w:t>
      </w:r>
      <w:r w:rsidR="005634B2"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>§</w:t>
      </w:r>
      <w:r w:rsidR="005634B2"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 xml:space="preserve">1) </w:t>
      </w:r>
      <w:r w:rsidR="005634B2" w:rsidRPr="00A84443">
        <w:rPr>
          <w:lang w:val="sr-Latn-RS"/>
        </w:rPr>
        <w:t xml:space="preserve">i pravilo </w:t>
      </w:r>
      <w:r w:rsidR="00387B35" w:rsidRPr="00A84443">
        <w:rPr>
          <w:lang w:val="sr-Latn-RS"/>
        </w:rPr>
        <w:t>“</w:t>
      </w:r>
      <w:r w:rsidR="005634B2" w:rsidRPr="00A84443">
        <w:rPr>
          <w:lang w:val="sr-Latn-RS"/>
        </w:rPr>
        <w:t>kažnjavanja samo na osnovu zakona</w:t>
      </w:r>
      <w:r w:rsidR="00387B35" w:rsidRPr="00A84443">
        <w:rPr>
          <w:lang w:val="sr-Latn-RS"/>
        </w:rPr>
        <w:t>” (</w:t>
      </w:r>
      <w:r w:rsidR="005634B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7). </w:t>
      </w:r>
      <w:r w:rsidR="005634B2" w:rsidRPr="00A84443">
        <w:rPr>
          <w:lang w:val="sr-Latn-RS"/>
        </w:rPr>
        <w:t xml:space="preserve">Nisu dozvoljena odstupanja od ukidanja smrtne kazne ili prava da se ne bude suđen ili kažnjen dvaput </w:t>
      </w:r>
      <w:r w:rsidR="001E63D7">
        <w:rPr>
          <w:lang w:val="sr-Latn-RS"/>
        </w:rPr>
        <w:t>po</w:t>
      </w:r>
      <w:r w:rsidR="005634B2" w:rsidRPr="00A84443">
        <w:rPr>
          <w:lang w:val="sr-Latn-RS"/>
        </w:rPr>
        <w:t xml:space="preserve"> isto</w:t>
      </w:r>
      <w:r w:rsidR="001E63D7">
        <w:rPr>
          <w:lang w:val="sr-Latn-RS"/>
        </w:rPr>
        <w:t xml:space="preserve">m predmetu </w:t>
      </w:r>
      <w:r w:rsidR="005634B2" w:rsidRPr="00A84443">
        <w:rPr>
          <w:lang w:val="sr-Latn-RS"/>
        </w:rPr>
        <w:t>(Protokoli 6 i 13, kao i Član 4 Protokola 7).</w:t>
      </w:r>
    </w:p>
    <w:p w14:paraId="1E3B3530" w14:textId="77777777" w:rsidR="0087452D" w:rsidRDefault="0087452D">
      <w:pPr>
        <w:pStyle w:val="BodyText"/>
        <w:spacing w:before="1"/>
        <w:ind w:left="117" w:right="415"/>
        <w:jc w:val="both"/>
        <w:rPr>
          <w:lang w:val="sr-Latn-RS"/>
        </w:rPr>
      </w:pPr>
    </w:p>
    <w:p w14:paraId="60742AB5" w14:textId="072B7599" w:rsidR="00047EA6" w:rsidRPr="00A84443" w:rsidRDefault="005634B2">
      <w:pPr>
        <w:pStyle w:val="BodyText"/>
        <w:spacing w:before="1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 xml:space="preserve">Odstupanje po Članu </w:t>
      </w:r>
      <w:r w:rsidR="00387B35" w:rsidRPr="00A84443">
        <w:rPr>
          <w:lang w:val="sr-Latn-RS"/>
        </w:rPr>
        <w:t xml:space="preserve">15 </w:t>
      </w:r>
      <w:r w:rsidR="00350E1D" w:rsidRPr="00A84443">
        <w:rPr>
          <w:lang w:val="sr-Latn-RS"/>
        </w:rPr>
        <w:t>nije uslovljeno formalnim donošenjem odluke o proglašenju vanrednog stanja ili nekog drugog sličnog režima na nacionalnom nivou</w:t>
      </w:r>
      <w:r w:rsidR="00387B35" w:rsidRPr="00A84443">
        <w:rPr>
          <w:lang w:val="sr-Latn-RS"/>
        </w:rPr>
        <w:t>.</w:t>
      </w:r>
      <w:r w:rsidR="00387B35" w:rsidRPr="00A84443">
        <w:rPr>
          <w:spacing w:val="-2"/>
          <w:lang w:val="sr-Latn-RS"/>
        </w:rPr>
        <w:t xml:space="preserve"> </w:t>
      </w:r>
      <w:r w:rsidR="00350E1D" w:rsidRPr="00A84443">
        <w:rPr>
          <w:spacing w:val="-2"/>
          <w:lang w:val="sr-Latn-RS"/>
        </w:rPr>
        <w:t xml:space="preserve">Istovremeno, neophodno je da za svako odstupanje postoji jasan osnov u domaćem pravu </w:t>
      </w:r>
      <w:r w:rsidR="001E63D7">
        <w:rPr>
          <w:spacing w:val="-2"/>
          <w:lang w:val="sr-Latn-RS"/>
        </w:rPr>
        <w:t>kako</w:t>
      </w:r>
      <w:r w:rsidR="00350E1D" w:rsidRPr="00A84443">
        <w:rPr>
          <w:spacing w:val="-2"/>
          <w:lang w:val="sr-Latn-RS"/>
        </w:rPr>
        <w:t xml:space="preserve"> bi se obezb</w:t>
      </w:r>
      <w:r w:rsidR="001E63D7">
        <w:rPr>
          <w:spacing w:val="-2"/>
          <w:lang w:val="sr-Latn-RS"/>
        </w:rPr>
        <w:t>ij</w:t>
      </w:r>
      <w:r w:rsidR="00350E1D" w:rsidRPr="00A84443">
        <w:rPr>
          <w:spacing w:val="-2"/>
          <w:lang w:val="sr-Latn-RS"/>
        </w:rPr>
        <w:t xml:space="preserve">edila zaštita od </w:t>
      </w:r>
      <w:r w:rsidR="007D11A3" w:rsidRPr="00A84443">
        <w:rPr>
          <w:spacing w:val="-2"/>
          <w:lang w:val="sr-Latn-RS"/>
        </w:rPr>
        <w:t>proizvoljnosti, i svako odstupanje mora da bude str</w:t>
      </w:r>
      <w:r w:rsidR="00AF56E5" w:rsidRPr="00A84443">
        <w:rPr>
          <w:spacing w:val="-2"/>
          <w:lang w:val="sr-Latn-RS"/>
        </w:rPr>
        <w:t xml:space="preserve">iktno </w:t>
      </w:r>
      <w:r w:rsidR="007D11A3" w:rsidRPr="00A84443">
        <w:rPr>
          <w:spacing w:val="-2"/>
          <w:lang w:val="sr-Latn-RS"/>
        </w:rPr>
        <w:t xml:space="preserve">neophodno za borbu protiv </w:t>
      </w:r>
      <w:r w:rsidR="007D11A3" w:rsidRPr="00EC5997">
        <w:rPr>
          <w:spacing w:val="-2"/>
          <w:lang w:val="sr-Latn-RS"/>
        </w:rPr>
        <w:t xml:space="preserve">javne </w:t>
      </w:r>
      <w:r w:rsidR="007D11A3" w:rsidRPr="00844359">
        <w:rPr>
          <w:spacing w:val="-2"/>
          <w:lang w:val="sr-Latn-RS"/>
        </w:rPr>
        <w:t>opasnosti</w:t>
      </w:r>
      <w:r w:rsidR="00387B35" w:rsidRPr="00844359">
        <w:rPr>
          <w:lang w:val="sr-Latn-RS"/>
        </w:rPr>
        <w:t xml:space="preserve">. </w:t>
      </w:r>
      <w:r w:rsidR="007D11A3" w:rsidRPr="00844359">
        <w:rPr>
          <w:lang w:val="sr-Latn-RS"/>
        </w:rPr>
        <w:t>Države moraju da</w:t>
      </w:r>
      <w:r w:rsidR="00710B65" w:rsidRPr="00844359">
        <w:rPr>
          <w:lang w:val="sr-Latn-RS"/>
        </w:rPr>
        <w:t xml:space="preserve"> </w:t>
      </w:r>
      <w:r w:rsidR="007D11A3" w:rsidRPr="00844359">
        <w:rPr>
          <w:lang w:val="sr-Latn-RS"/>
        </w:rPr>
        <w:t xml:space="preserve">imaju na umu da </w:t>
      </w:r>
      <w:r w:rsidR="00710B65" w:rsidRPr="00844359">
        <w:rPr>
          <w:lang w:val="sr-Latn-RS"/>
        </w:rPr>
        <w:t xml:space="preserve">je potrebno da </w:t>
      </w:r>
      <w:r w:rsidR="007D11A3" w:rsidRPr="00844359">
        <w:rPr>
          <w:lang w:val="sr-Latn-RS"/>
        </w:rPr>
        <w:t>sve m</w:t>
      </w:r>
      <w:r w:rsidR="001E63D7">
        <w:rPr>
          <w:lang w:val="sr-Latn-RS"/>
        </w:rPr>
        <w:t>j</w:t>
      </w:r>
      <w:r w:rsidR="007D11A3" w:rsidRPr="00844359">
        <w:rPr>
          <w:lang w:val="sr-Latn-RS"/>
        </w:rPr>
        <w:t xml:space="preserve">ere koje se preduzimaju </w:t>
      </w:r>
      <w:r w:rsidR="001B161A" w:rsidRPr="00844359">
        <w:rPr>
          <w:lang w:val="sr-Latn-RS"/>
        </w:rPr>
        <w:t xml:space="preserve">treba da </w:t>
      </w:r>
      <w:r w:rsidR="00EC5997" w:rsidRPr="00844359">
        <w:rPr>
          <w:lang w:val="sr-Latn-RS"/>
        </w:rPr>
        <w:t>budu usm</w:t>
      </w:r>
      <w:r w:rsidR="001E63D7">
        <w:rPr>
          <w:lang w:val="sr-Latn-RS"/>
        </w:rPr>
        <w:t>j</w:t>
      </w:r>
      <w:r w:rsidR="00EC5997" w:rsidRPr="00844359">
        <w:rPr>
          <w:lang w:val="sr-Latn-RS"/>
        </w:rPr>
        <w:t>erene</w:t>
      </w:r>
      <w:r w:rsidR="001B161A">
        <w:rPr>
          <w:lang w:val="sr-Latn-RS"/>
        </w:rPr>
        <w:t xml:space="preserve"> </w:t>
      </w:r>
      <w:r w:rsidR="002D63B6">
        <w:rPr>
          <w:lang w:val="sr-Latn-RS"/>
        </w:rPr>
        <w:t>ka</w:t>
      </w:r>
      <w:r w:rsidR="00710B65" w:rsidRPr="00A84443">
        <w:rPr>
          <w:lang w:val="sr-Latn-RS"/>
        </w:rPr>
        <w:t xml:space="preserve"> zaštit</w:t>
      </w:r>
      <w:r w:rsidR="002D63B6">
        <w:rPr>
          <w:lang w:val="sr-Latn-RS"/>
        </w:rPr>
        <w:t>i</w:t>
      </w:r>
      <w:r w:rsidR="00710B65" w:rsidRPr="00A84443">
        <w:rPr>
          <w:lang w:val="sr-Latn-RS"/>
        </w:rPr>
        <w:t xml:space="preserve"> demokrats</w:t>
      </w:r>
      <w:r w:rsidR="002D63B6">
        <w:rPr>
          <w:lang w:val="sr-Latn-RS"/>
        </w:rPr>
        <w:t>kog</w:t>
      </w:r>
      <w:r w:rsidR="00710B65" w:rsidRPr="00A84443">
        <w:rPr>
          <w:lang w:val="sr-Latn-RS"/>
        </w:rPr>
        <w:t xml:space="preserve"> po</w:t>
      </w:r>
      <w:r w:rsidR="002D63B6">
        <w:rPr>
          <w:lang w:val="sr-Latn-RS"/>
        </w:rPr>
        <w:t>retka</w:t>
      </w:r>
      <w:r w:rsidR="00710B65" w:rsidRPr="00A84443">
        <w:rPr>
          <w:lang w:val="sr-Latn-RS"/>
        </w:rPr>
        <w:t xml:space="preserve"> od pr</w:t>
      </w:r>
      <w:r w:rsidR="001E63D7">
        <w:rPr>
          <w:lang w:val="sr-Latn-RS"/>
        </w:rPr>
        <w:t>ij</w:t>
      </w:r>
      <w:r w:rsidR="00710B65" w:rsidRPr="00A84443">
        <w:rPr>
          <w:lang w:val="sr-Latn-RS"/>
        </w:rPr>
        <w:t>etnji tom poretku, i da je neophodno uložiti svaki napor da se zaštite vr</w:t>
      </w:r>
      <w:r w:rsidR="001E63D7">
        <w:rPr>
          <w:lang w:val="sr-Latn-RS"/>
        </w:rPr>
        <w:t>ij</w:t>
      </w:r>
      <w:r w:rsidR="00710B65" w:rsidRPr="00A84443">
        <w:rPr>
          <w:lang w:val="sr-Latn-RS"/>
        </w:rPr>
        <w:t xml:space="preserve">ednosti demokratskog društva, kao što su </w:t>
      </w:r>
      <w:r w:rsidR="00387B35" w:rsidRPr="00A84443">
        <w:rPr>
          <w:lang w:val="sr-Latn-RS"/>
        </w:rPr>
        <w:t>plurali</w:t>
      </w:r>
      <w:r w:rsidR="00710B65" w:rsidRPr="00A84443">
        <w:rPr>
          <w:lang w:val="sr-Latn-RS"/>
        </w:rPr>
        <w:t xml:space="preserve">zam, tolerancija i </w:t>
      </w:r>
      <w:r w:rsidR="00EC5997">
        <w:rPr>
          <w:lang w:val="sr-Latn-RS"/>
        </w:rPr>
        <w:t>otvorenost</w:t>
      </w:r>
      <w:r w:rsidR="00B504D8" w:rsidRPr="00B504D8">
        <w:rPr>
          <w:rStyle w:val="FootnoteReference"/>
          <w:position w:val="8"/>
          <w:sz w:val="14"/>
          <w:lang w:val="sr-Latn-RS"/>
        </w:rPr>
        <w:footnoteReference w:id="4"/>
      </w:r>
      <w:r w:rsidR="00387B35" w:rsidRPr="00A84443">
        <w:rPr>
          <w:lang w:val="sr-Latn-RS"/>
        </w:rPr>
        <w:t xml:space="preserve">. </w:t>
      </w:r>
      <w:r w:rsidR="00710B65" w:rsidRPr="00A84443">
        <w:rPr>
          <w:lang w:val="sr-Latn-RS"/>
        </w:rPr>
        <w:t>Iako je Sud</w:t>
      </w:r>
      <w:r w:rsidR="001B161A">
        <w:rPr>
          <w:lang w:val="sr-Latn-RS"/>
        </w:rPr>
        <w:t xml:space="preserve"> </w:t>
      </w:r>
      <w:r w:rsidR="00710B65" w:rsidRPr="00A84443">
        <w:rPr>
          <w:lang w:val="sr-Latn-RS"/>
        </w:rPr>
        <w:t xml:space="preserve">prihvatao odstupanja kao </w:t>
      </w:r>
      <w:r w:rsidR="00DA6EF2">
        <w:rPr>
          <w:lang w:val="sr-Latn-RS"/>
        </w:rPr>
        <w:t xml:space="preserve">obrazloženje </w:t>
      </w:r>
      <w:r w:rsidR="00710B65" w:rsidRPr="00A84443">
        <w:rPr>
          <w:lang w:val="sr-Latn-RS"/>
        </w:rPr>
        <w:t xml:space="preserve">za određene izuzetke u pogledu standarda iz </w:t>
      </w:r>
      <w:r w:rsidR="00AF56E5" w:rsidRPr="00A84443">
        <w:rPr>
          <w:lang w:val="sr-Latn-RS"/>
        </w:rPr>
        <w:t>K</w:t>
      </w:r>
      <w:r w:rsidR="00710B65" w:rsidRPr="00A84443">
        <w:rPr>
          <w:lang w:val="sr-Latn-RS"/>
        </w:rPr>
        <w:t>onvencije, ta odstupanja nikada ne mogu da opravdaju bilo koju radnju koja je u suprotnosti sa najvišim zah</w:t>
      </w:r>
      <w:r w:rsidR="001E63D7">
        <w:rPr>
          <w:lang w:val="sr-Latn-RS"/>
        </w:rPr>
        <w:t>j</w:t>
      </w:r>
      <w:r w:rsidR="00710B65" w:rsidRPr="00A84443">
        <w:rPr>
          <w:lang w:val="sr-Latn-RS"/>
        </w:rPr>
        <w:t xml:space="preserve">tevima Konvencije, a to su </w:t>
      </w:r>
      <w:r w:rsidR="00A84443" w:rsidRPr="00A84443">
        <w:rPr>
          <w:lang w:val="sr-Latn-RS"/>
        </w:rPr>
        <w:t>zakonitost</w:t>
      </w:r>
      <w:r w:rsidR="00710B65" w:rsidRPr="00A84443">
        <w:rPr>
          <w:lang w:val="sr-Latn-RS"/>
        </w:rPr>
        <w:t xml:space="preserve"> i srazm</w:t>
      </w:r>
      <w:r w:rsidR="001E63D7">
        <w:rPr>
          <w:lang w:val="sr-Latn-RS"/>
        </w:rPr>
        <w:t>j</w:t>
      </w:r>
      <w:r w:rsidR="00710B65" w:rsidRPr="00A84443">
        <w:rPr>
          <w:lang w:val="sr-Latn-RS"/>
        </w:rPr>
        <w:t>ernost</w:t>
      </w:r>
      <w:r w:rsidR="00387B35" w:rsidRPr="00A84443">
        <w:rPr>
          <w:lang w:val="sr-Latn-RS"/>
        </w:rPr>
        <w:t>.</w:t>
      </w:r>
    </w:p>
    <w:p w14:paraId="63974B67" w14:textId="77777777" w:rsidR="00047EA6" w:rsidRPr="00A84443" w:rsidRDefault="00047EA6">
      <w:pPr>
        <w:pStyle w:val="BodyText"/>
        <w:spacing w:before="9"/>
        <w:rPr>
          <w:sz w:val="23"/>
          <w:lang w:val="sr-Latn-RS"/>
        </w:rPr>
      </w:pPr>
    </w:p>
    <w:p w14:paraId="3E348C9A" w14:textId="51213733" w:rsidR="00047EA6" w:rsidRPr="00844359" w:rsidRDefault="00710B65" w:rsidP="00844359">
      <w:pPr>
        <w:pStyle w:val="Heading2"/>
        <w:numPr>
          <w:ilvl w:val="0"/>
          <w:numId w:val="1"/>
        </w:numPr>
        <w:tabs>
          <w:tab w:val="left" w:pos="839"/>
        </w:tabs>
        <w:ind w:right="383" w:hanging="361"/>
        <w:rPr>
          <w:lang w:val="sr-Latn-RS"/>
        </w:rPr>
      </w:pPr>
      <w:r w:rsidRPr="00844359">
        <w:rPr>
          <w:lang w:val="sr-Latn-RS"/>
        </w:rPr>
        <w:t xml:space="preserve">Poštovanje vladavine </w:t>
      </w:r>
      <w:r w:rsidR="001E63D7">
        <w:rPr>
          <w:lang w:val="sr-Latn-RS"/>
        </w:rPr>
        <w:t>zakona</w:t>
      </w:r>
      <w:r w:rsidRPr="00844359">
        <w:rPr>
          <w:lang w:val="sr-Latn-RS"/>
        </w:rPr>
        <w:t xml:space="preserve"> i demokratskih načela u vanredni</w:t>
      </w:r>
      <w:r w:rsidR="0010396D" w:rsidRPr="00844359">
        <w:rPr>
          <w:lang w:val="sr-Latn-RS"/>
        </w:rPr>
        <w:t>m</w:t>
      </w:r>
      <w:r w:rsidRPr="00844359">
        <w:rPr>
          <w:lang w:val="sr-Latn-RS"/>
        </w:rPr>
        <w:t xml:space="preserve"> </w:t>
      </w:r>
      <w:r w:rsidR="00B73F3C" w:rsidRPr="00844359">
        <w:rPr>
          <w:lang w:val="sr-Latn-RS"/>
        </w:rPr>
        <w:t>okolnosti</w:t>
      </w:r>
      <w:r w:rsidR="0010396D" w:rsidRPr="00844359">
        <w:rPr>
          <w:lang w:val="sr-Latn-RS"/>
        </w:rPr>
        <w:t>ma</w:t>
      </w:r>
    </w:p>
    <w:p w14:paraId="0102D627" w14:textId="77777777" w:rsidR="00047EA6" w:rsidRPr="00A84443" w:rsidRDefault="00047EA6">
      <w:pPr>
        <w:pStyle w:val="BodyText"/>
        <w:spacing w:before="1"/>
        <w:rPr>
          <w:b/>
          <w:lang w:val="sr-Latn-RS"/>
        </w:rPr>
      </w:pPr>
    </w:p>
    <w:p w14:paraId="64DE405A" w14:textId="77777777" w:rsidR="00047EA6" w:rsidRPr="00A84443" w:rsidRDefault="00710B65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rPr>
          <w:lang w:val="sr-Latn-RS"/>
        </w:rPr>
      </w:pPr>
      <w:r w:rsidRPr="00A84443">
        <w:rPr>
          <w:lang w:val="sr-Latn-RS"/>
        </w:rPr>
        <w:t>Načelo zakonitosti</w:t>
      </w:r>
    </w:p>
    <w:p w14:paraId="3D57A0A7" w14:textId="77777777" w:rsidR="00047EA6" w:rsidRPr="00A84443" w:rsidRDefault="00047EA6">
      <w:pPr>
        <w:pStyle w:val="BodyText"/>
        <w:spacing w:before="7"/>
        <w:rPr>
          <w:b/>
          <w:i/>
          <w:sz w:val="21"/>
          <w:lang w:val="sr-Latn-RS"/>
        </w:rPr>
      </w:pPr>
    </w:p>
    <w:p w14:paraId="65BAF172" w14:textId="61EA5196" w:rsidR="00047EA6" w:rsidRPr="00A84443" w:rsidRDefault="00710B65">
      <w:pPr>
        <w:pStyle w:val="BodyText"/>
        <w:ind w:left="117" w:right="415"/>
        <w:jc w:val="both"/>
        <w:rPr>
          <w:lang w:val="sr-Latn-RS"/>
        </w:rPr>
      </w:pPr>
      <w:r w:rsidRPr="00844359">
        <w:rPr>
          <w:lang w:val="sr-Latn-RS"/>
        </w:rPr>
        <w:t>Čak i u vanrednoj situaciji vladavina</w:t>
      </w:r>
      <w:r w:rsidR="001E63D7">
        <w:rPr>
          <w:lang w:val="sr-Latn-RS"/>
        </w:rPr>
        <w:t xml:space="preserve"> zakona</w:t>
      </w:r>
      <w:r w:rsidR="0010396D" w:rsidRPr="00844359">
        <w:rPr>
          <w:lang w:val="sr-Latn-RS"/>
        </w:rPr>
        <w:t xml:space="preserve"> mora da pre</w:t>
      </w:r>
      <w:r w:rsidR="00404FD1" w:rsidRPr="00844359">
        <w:rPr>
          <w:lang w:val="sr-Latn-RS"/>
        </w:rPr>
        <w:t>vlada</w:t>
      </w:r>
      <w:r w:rsidR="00387B35" w:rsidRPr="00844359">
        <w:rPr>
          <w:lang w:val="sr-Latn-RS"/>
        </w:rPr>
        <w:t>.</w:t>
      </w:r>
      <w:r w:rsidR="00B504D8" w:rsidRPr="00844359">
        <w:rPr>
          <w:rStyle w:val="FootnoteReference"/>
          <w:lang w:val="sr-Latn-RS"/>
        </w:rPr>
        <w:footnoteReference w:id="5"/>
      </w:r>
      <w:r w:rsidR="00387B35" w:rsidRPr="00844359">
        <w:rPr>
          <w:position w:val="8"/>
          <w:sz w:val="14"/>
          <w:lang w:val="sr-Latn-RS"/>
        </w:rPr>
        <w:t xml:space="preserve"> </w:t>
      </w:r>
      <w:r w:rsidR="003A62E3" w:rsidRPr="00844359">
        <w:rPr>
          <w:lang w:val="sr-Latn-RS"/>
        </w:rPr>
        <w:t xml:space="preserve">To je </w:t>
      </w:r>
      <w:r w:rsidR="00511431" w:rsidRPr="00844359">
        <w:rPr>
          <w:lang w:val="sr-Latn-RS"/>
        </w:rPr>
        <w:t>fundamentalno</w:t>
      </w:r>
      <w:r w:rsidR="00511431" w:rsidRPr="00511431">
        <w:rPr>
          <w:lang w:val="sr-Latn-RS"/>
        </w:rPr>
        <w:t xml:space="preserve"> </w:t>
      </w:r>
      <w:r w:rsidR="003A62E3" w:rsidRPr="00A84443">
        <w:rPr>
          <w:lang w:val="sr-Latn-RS"/>
        </w:rPr>
        <w:t xml:space="preserve">načelo vladavine </w:t>
      </w:r>
      <w:r w:rsidR="001E63D7">
        <w:rPr>
          <w:lang w:val="sr-Latn-RS"/>
        </w:rPr>
        <w:t>zakona</w:t>
      </w:r>
      <w:r w:rsidR="003A62E3" w:rsidRPr="00A84443">
        <w:rPr>
          <w:lang w:val="sr-Latn-RS"/>
        </w:rPr>
        <w:t xml:space="preserve"> prema kome radnje koje preduzima država moraju da budu u </w:t>
      </w:r>
      <w:r w:rsidR="00A84443" w:rsidRPr="00A84443">
        <w:rPr>
          <w:lang w:val="sr-Latn-RS"/>
        </w:rPr>
        <w:t>skladu</w:t>
      </w:r>
      <w:r w:rsidR="003A62E3" w:rsidRPr="00A84443">
        <w:rPr>
          <w:lang w:val="sr-Latn-RS"/>
        </w:rPr>
        <w:t xml:space="preserve"> sa zakonom</w:t>
      </w:r>
      <w:r w:rsidR="00387B35" w:rsidRPr="00A84443">
        <w:rPr>
          <w:lang w:val="sr-Latn-RS"/>
        </w:rPr>
        <w:t>.</w:t>
      </w:r>
      <w:r w:rsidR="00B504D8">
        <w:rPr>
          <w:rStyle w:val="FootnoteReference"/>
          <w:lang w:val="sr-Latn-RS"/>
        </w:rPr>
        <w:footnoteReference w:id="6"/>
      </w:r>
      <w:r w:rsidR="00387B35" w:rsidRPr="00A84443">
        <w:rPr>
          <w:position w:val="8"/>
          <w:sz w:val="14"/>
          <w:lang w:val="sr-Latn-RS"/>
        </w:rPr>
        <w:t xml:space="preserve"> </w:t>
      </w:r>
      <w:r w:rsidR="003A62E3" w:rsidRPr="00A84443">
        <w:rPr>
          <w:lang w:val="sr-Latn-RS"/>
        </w:rPr>
        <w:t xml:space="preserve">U ovom kontekstu </w:t>
      </w:r>
      <w:r w:rsidR="00387B35" w:rsidRPr="00A84443">
        <w:rPr>
          <w:lang w:val="sr-Latn-RS"/>
        </w:rPr>
        <w:t>“</w:t>
      </w:r>
      <w:r w:rsidR="003A62E3" w:rsidRPr="00A84443">
        <w:rPr>
          <w:lang w:val="sr-Latn-RS"/>
        </w:rPr>
        <w:t>zakon</w:t>
      </w:r>
      <w:r w:rsidR="00387B35" w:rsidRPr="00A84443">
        <w:rPr>
          <w:lang w:val="sr-Latn-RS"/>
        </w:rPr>
        <w:t xml:space="preserve">” </w:t>
      </w:r>
      <w:r w:rsidR="003A62E3" w:rsidRPr="00A84443">
        <w:rPr>
          <w:lang w:val="sr-Latn-RS"/>
        </w:rPr>
        <w:t>uključuje ne samo akte Parlamenta nego</w:t>
      </w:r>
      <w:r w:rsidR="00174A6D" w:rsidRPr="00A84443">
        <w:rPr>
          <w:lang w:val="sr-Latn-RS"/>
        </w:rPr>
        <w:t xml:space="preserve"> takođe</w:t>
      </w:r>
      <w:r w:rsidR="003A62E3" w:rsidRPr="00A84443">
        <w:rPr>
          <w:lang w:val="sr-Latn-RS"/>
        </w:rPr>
        <w:t>, na prim</w:t>
      </w:r>
      <w:r w:rsidR="001E63D7">
        <w:rPr>
          <w:lang w:val="sr-Latn-RS"/>
        </w:rPr>
        <w:t>ij</w:t>
      </w:r>
      <w:r w:rsidR="003A62E3" w:rsidRPr="00A84443">
        <w:rPr>
          <w:lang w:val="sr-Latn-RS"/>
        </w:rPr>
        <w:t xml:space="preserve">er, </w:t>
      </w:r>
      <w:r w:rsidR="00174A6D" w:rsidRPr="00A84443">
        <w:rPr>
          <w:lang w:val="sr-Latn-RS"/>
        </w:rPr>
        <w:t xml:space="preserve">vanredne </w:t>
      </w:r>
      <w:r w:rsidR="003A62E3" w:rsidRPr="00A84443">
        <w:rPr>
          <w:lang w:val="sr-Latn-RS"/>
        </w:rPr>
        <w:t>ured</w:t>
      </w:r>
      <w:r w:rsidR="00174A6D" w:rsidRPr="00A84443">
        <w:rPr>
          <w:lang w:val="sr-Latn-RS"/>
        </w:rPr>
        <w:t>b</w:t>
      </w:r>
      <w:r w:rsidR="003A62E3" w:rsidRPr="00A84443">
        <w:rPr>
          <w:lang w:val="sr-Latn-RS"/>
        </w:rPr>
        <w:t>e izvršne vlasti, pod uslovom da za njih postoji ustavni osnov</w:t>
      </w:r>
      <w:r w:rsidR="00387B35" w:rsidRPr="00A84443">
        <w:rPr>
          <w:lang w:val="sr-Latn-RS"/>
        </w:rPr>
        <w:t xml:space="preserve">. </w:t>
      </w:r>
      <w:r w:rsidR="003A62E3" w:rsidRPr="00A84443">
        <w:rPr>
          <w:lang w:val="sr-Latn-RS"/>
        </w:rPr>
        <w:t>Mnogi ustavi omogućavaju vanredan pravni režim (ili režime) kojima se izvršnoj vlasti daju šira ovlaš</w:t>
      </w:r>
      <w:r w:rsidR="001E63D7">
        <w:rPr>
          <w:lang w:val="sr-Latn-RS"/>
        </w:rPr>
        <w:t>t</w:t>
      </w:r>
      <w:r w:rsidR="003A62E3" w:rsidRPr="00A84443">
        <w:rPr>
          <w:lang w:val="sr-Latn-RS"/>
        </w:rPr>
        <w:t>enja u slučaju rata ili značajne prirodne kata</w:t>
      </w:r>
      <w:r w:rsidR="00174A6D" w:rsidRPr="00A84443">
        <w:rPr>
          <w:lang w:val="sr-Latn-RS"/>
        </w:rPr>
        <w:t>s</w:t>
      </w:r>
      <w:r w:rsidR="003A62E3" w:rsidRPr="00A84443">
        <w:rPr>
          <w:lang w:val="sr-Latn-RS"/>
        </w:rPr>
        <w:t>trofe ili druge nepogode</w:t>
      </w:r>
      <w:r w:rsidR="001B1751">
        <w:rPr>
          <w:rStyle w:val="FootnoteReference"/>
          <w:lang w:val="sr-Latn-RS"/>
        </w:rPr>
        <w:footnoteReference w:id="7"/>
      </w:r>
      <w:r w:rsidR="00387B35" w:rsidRPr="00A84443">
        <w:rPr>
          <w:lang w:val="sr-Latn-RS"/>
        </w:rPr>
        <w:t xml:space="preserve">. </w:t>
      </w:r>
      <w:r w:rsidR="003A62E3" w:rsidRPr="00A84443">
        <w:rPr>
          <w:lang w:val="sr-Latn-RS"/>
        </w:rPr>
        <w:t>Takođe je moguće da zakonodavna vlast usvoji vanredne zakone konkretno nam</w:t>
      </w:r>
      <w:r w:rsidR="001E63D7">
        <w:rPr>
          <w:lang w:val="sr-Latn-RS"/>
        </w:rPr>
        <w:t>ij</w:t>
      </w:r>
      <w:r w:rsidR="003A62E3" w:rsidRPr="00A84443">
        <w:rPr>
          <w:lang w:val="sr-Latn-RS"/>
        </w:rPr>
        <w:t>enjene odgovoru na tekuću krizu</w:t>
      </w:r>
      <w:r w:rsidR="00387B35" w:rsidRPr="00A84443">
        <w:rPr>
          <w:lang w:val="sr-Latn-RS"/>
        </w:rPr>
        <w:t xml:space="preserve">, </w:t>
      </w:r>
      <w:r w:rsidR="003A62E3" w:rsidRPr="00A84443">
        <w:rPr>
          <w:lang w:val="sr-Latn-RS"/>
        </w:rPr>
        <w:t>koji izlaze iz okvira već postojećih pravnih normi</w:t>
      </w:r>
      <w:r w:rsidR="00387B35" w:rsidRPr="00A84443">
        <w:rPr>
          <w:lang w:val="sr-Latn-RS"/>
        </w:rPr>
        <w:t xml:space="preserve">. </w:t>
      </w:r>
      <w:r w:rsidR="003A62E3" w:rsidRPr="00A84443">
        <w:rPr>
          <w:lang w:val="sr-Latn-RS"/>
        </w:rPr>
        <w:t>Svak</w:t>
      </w:r>
      <w:r w:rsidR="00F73B47">
        <w:rPr>
          <w:lang w:val="sr-Latn-RS"/>
        </w:rPr>
        <w:t>i</w:t>
      </w:r>
      <w:r w:rsidR="003A62E3" w:rsidRPr="00A84443">
        <w:rPr>
          <w:lang w:val="sr-Latn-RS"/>
        </w:rPr>
        <w:t xml:space="preserve"> nov</w:t>
      </w:r>
      <w:r w:rsidR="00F73B47">
        <w:rPr>
          <w:lang w:val="sr-Latn-RS"/>
        </w:rPr>
        <w:t>i</w:t>
      </w:r>
      <w:r w:rsidR="003A62E3" w:rsidRPr="00A84443">
        <w:rPr>
          <w:lang w:val="sr-Latn-RS"/>
        </w:rPr>
        <w:t xml:space="preserve"> </w:t>
      </w:r>
      <w:r w:rsidR="00F73B47">
        <w:rPr>
          <w:lang w:val="sr-Latn-RS"/>
        </w:rPr>
        <w:t>akt</w:t>
      </w:r>
      <w:r w:rsidR="003A62E3" w:rsidRPr="00A84443">
        <w:rPr>
          <w:lang w:val="sr-Latn-RS"/>
        </w:rPr>
        <w:t xml:space="preserve"> takve vrste treba da bude usaglašen sa ustavom i međunarodnim standardima i, kada je to moguće, da potpada pod </w:t>
      </w:r>
      <w:r w:rsidR="00CE2868" w:rsidRPr="00A84443">
        <w:rPr>
          <w:lang w:val="sr-Latn-RS"/>
        </w:rPr>
        <w:t>preispitivanje od strane Ustavnog suda</w:t>
      </w:r>
      <w:r w:rsidR="00387B35" w:rsidRPr="00A84443">
        <w:rPr>
          <w:lang w:val="sr-Latn-RS"/>
        </w:rPr>
        <w:t xml:space="preserve">. </w:t>
      </w:r>
      <w:r w:rsidR="00CE2868" w:rsidRPr="00A84443">
        <w:rPr>
          <w:lang w:val="sr-Latn-RS"/>
        </w:rPr>
        <w:t>Ukoliko parlament želi da ovlasti izvršnu vlast da odstup</w:t>
      </w:r>
      <w:r w:rsidR="00F73B47">
        <w:rPr>
          <w:lang w:val="sr-Latn-RS"/>
        </w:rPr>
        <w:t>i</w:t>
      </w:r>
      <w:r w:rsidR="00CE2868" w:rsidRPr="00A84443">
        <w:rPr>
          <w:lang w:val="sr-Latn-RS"/>
        </w:rPr>
        <w:t xml:space="preserve"> od</w:t>
      </w:r>
      <w:r w:rsidR="00F73B47">
        <w:rPr>
          <w:lang w:val="sr-Latn-RS"/>
        </w:rPr>
        <w:t xml:space="preserve"> </w:t>
      </w:r>
      <w:r w:rsidR="00CE2868" w:rsidRPr="00A84443">
        <w:rPr>
          <w:lang w:val="sr-Latn-RS"/>
        </w:rPr>
        <w:t xml:space="preserve">zakona </w:t>
      </w:r>
      <w:r w:rsidR="00F73B47">
        <w:rPr>
          <w:lang w:val="sr-Latn-RS"/>
        </w:rPr>
        <w:t xml:space="preserve">za čije je usvajanje potrebna posebna </w:t>
      </w:r>
      <w:r w:rsidR="00174A6D" w:rsidRPr="00A84443">
        <w:rPr>
          <w:lang w:val="sr-Latn-RS"/>
        </w:rPr>
        <w:t>većin</w:t>
      </w:r>
      <w:r w:rsidR="00F73B47">
        <w:rPr>
          <w:lang w:val="sr-Latn-RS"/>
        </w:rPr>
        <w:t>a</w:t>
      </w:r>
      <w:r w:rsidR="00387B35" w:rsidRPr="00A84443">
        <w:rPr>
          <w:lang w:val="sr-Latn-RS"/>
        </w:rPr>
        <w:t xml:space="preserve"> (</w:t>
      </w:r>
      <w:r w:rsidR="00CE2868" w:rsidRPr="00A84443">
        <w:rPr>
          <w:lang w:val="sr-Latn-RS"/>
        </w:rPr>
        <w:t xml:space="preserve">ili zakona usvojenih po nekom drugom posebnom </w:t>
      </w:r>
      <w:r w:rsidR="00F73B47">
        <w:rPr>
          <w:lang w:val="sr-Latn-RS"/>
        </w:rPr>
        <w:t>p</w:t>
      </w:r>
      <w:r w:rsidR="00CE2868" w:rsidRPr="00A84443">
        <w:rPr>
          <w:lang w:val="sr-Latn-RS"/>
        </w:rPr>
        <w:t>ostupku</w:t>
      </w:r>
      <w:r w:rsidR="00387B35" w:rsidRPr="00A84443">
        <w:rPr>
          <w:lang w:val="sr-Latn-RS"/>
        </w:rPr>
        <w:t>), t</w:t>
      </w:r>
      <w:r w:rsidR="00CE2868" w:rsidRPr="00A84443">
        <w:rPr>
          <w:lang w:val="sr-Latn-RS"/>
        </w:rPr>
        <w:t>o mora da se učini uz većinu koja je propisana za usvajanje zakona, ili po istom postupku</w:t>
      </w:r>
      <w:r w:rsidR="00387B35" w:rsidRPr="00A84443">
        <w:rPr>
          <w:lang w:val="sr-Latn-RS"/>
        </w:rPr>
        <w:t>.</w:t>
      </w:r>
    </w:p>
    <w:p w14:paraId="4FCD86E4" w14:textId="77777777" w:rsidR="00047EA6" w:rsidRPr="00A84443" w:rsidRDefault="00047EA6">
      <w:pPr>
        <w:pStyle w:val="BodyText"/>
        <w:spacing w:before="1"/>
        <w:rPr>
          <w:sz w:val="21"/>
          <w:lang w:val="sr-Latn-RS"/>
        </w:rPr>
      </w:pPr>
    </w:p>
    <w:p w14:paraId="1ABCC8EC" w14:textId="546E910C" w:rsidR="00047EA6" w:rsidRPr="00A84443" w:rsidRDefault="00CE2868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ind w:right="420"/>
        <w:rPr>
          <w:lang w:val="sr-Latn-RS"/>
        </w:rPr>
      </w:pPr>
      <w:r w:rsidRPr="00A84443">
        <w:rPr>
          <w:lang w:val="sr-Latn-RS"/>
        </w:rPr>
        <w:t>Ograničeno trajanje režima vanred</w:t>
      </w:r>
      <w:r w:rsidR="001B1751">
        <w:rPr>
          <w:lang w:val="sr-Latn-RS"/>
        </w:rPr>
        <w:t>nog stanja</w:t>
      </w:r>
      <w:r w:rsidRPr="00A84443">
        <w:rPr>
          <w:lang w:val="sr-Latn-RS"/>
        </w:rPr>
        <w:t xml:space="preserve"> i vanrednih m</w:t>
      </w:r>
      <w:r w:rsidR="001E63D7">
        <w:rPr>
          <w:lang w:val="sr-Latn-RS"/>
        </w:rPr>
        <w:t>j</w:t>
      </w:r>
      <w:r w:rsidRPr="00A84443">
        <w:rPr>
          <w:lang w:val="sr-Latn-RS"/>
        </w:rPr>
        <w:t>era</w:t>
      </w:r>
    </w:p>
    <w:p w14:paraId="5774D562" w14:textId="77777777" w:rsidR="00047EA6" w:rsidRPr="00A84443" w:rsidRDefault="00047EA6">
      <w:pPr>
        <w:pStyle w:val="BodyText"/>
        <w:spacing w:before="2"/>
        <w:rPr>
          <w:b/>
          <w:i/>
          <w:lang w:val="sr-Latn-RS"/>
        </w:rPr>
      </w:pPr>
    </w:p>
    <w:p w14:paraId="382AEDAA" w14:textId="386352EF" w:rsidR="00047EA6" w:rsidRPr="00A84443" w:rsidRDefault="00CE2868">
      <w:pPr>
        <w:pStyle w:val="BodyText"/>
        <w:spacing w:line="237" w:lineRule="auto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>Tok</w:t>
      </w:r>
      <w:r w:rsidR="001B1751">
        <w:rPr>
          <w:lang w:val="sr-Latn-RS"/>
        </w:rPr>
        <w:t>om trajanja vanrednog stanja</w:t>
      </w:r>
      <w:r w:rsidRPr="00A84443">
        <w:rPr>
          <w:lang w:val="sr-Latn-RS"/>
        </w:rPr>
        <w:t>, vladama se može dati opšte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>enje da usvaja</w:t>
      </w:r>
      <w:r w:rsidR="00174A6D" w:rsidRPr="00A84443">
        <w:rPr>
          <w:lang w:val="sr-Latn-RS"/>
        </w:rPr>
        <w:t>ju</w:t>
      </w:r>
      <w:r w:rsidRPr="00A84443">
        <w:rPr>
          <w:lang w:val="sr-Latn-RS"/>
        </w:rPr>
        <w:t xml:space="preserve"> uredbe sa snagom zakona</w:t>
      </w:r>
      <w:r w:rsidR="00387B35" w:rsidRPr="00A84443">
        <w:rPr>
          <w:lang w:val="sr-Latn-RS"/>
        </w:rPr>
        <w:t>.</w:t>
      </w:r>
      <w:r w:rsidR="00387B35" w:rsidRPr="00A84443">
        <w:rPr>
          <w:spacing w:val="-5"/>
          <w:lang w:val="sr-Latn-RS"/>
        </w:rPr>
        <w:t xml:space="preserve"> </w:t>
      </w:r>
      <w:r w:rsidR="00387B35" w:rsidRPr="00A84443">
        <w:rPr>
          <w:lang w:val="sr-Latn-RS"/>
        </w:rPr>
        <w:t>T</w:t>
      </w:r>
      <w:r w:rsidRPr="00A84443">
        <w:rPr>
          <w:lang w:val="sr-Latn-RS"/>
        </w:rPr>
        <w:t>o je prihvatljivo, pod uslovom da ta opšta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>enja imaju ograničeno trajanje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Osnovna svrha režima vanredn</w:t>
      </w:r>
      <w:r w:rsidR="001B1751">
        <w:rPr>
          <w:lang w:val="sr-Latn-RS"/>
        </w:rPr>
        <w:t>og stanja</w:t>
      </w:r>
      <w:r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>ili sličnog režima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 xml:space="preserve">jeste da </w:t>
      </w:r>
      <w:r w:rsidRPr="00A84443">
        <w:rPr>
          <w:lang w:val="sr-Latn-RS"/>
        </w:rPr>
        <w:lastRenderedPageBreak/>
        <w:t>spr</w:t>
      </w:r>
      <w:r w:rsidR="001E63D7">
        <w:rPr>
          <w:lang w:val="sr-Latn-RS"/>
        </w:rPr>
        <w:t>ij</w:t>
      </w:r>
      <w:r w:rsidRPr="00A84443">
        <w:rPr>
          <w:lang w:val="sr-Latn-RS"/>
        </w:rPr>
        <w:t>eči nastanak krize i da se, što je pr</w:t>
      </w:r>
      <w:r w:rsidR="001E63D7">
        <w:rPr>
          <w:lang w:val="sr-Latn-RS"/>
        </w:rPr>
        <w:t>ije</w:t>
      </w:r>
      <w:r w:rsidRPr="00A84443">
        <w:rPr>
          <w:lang w:val="sr-Latn-RS"/>
        </w:rPr>
        <w:t xml:space="preserve"> moguće, vrati u redovno stanje</w:t>
      </w:r>
      <w:r w:rsidR="00387B35" w:rsidRPr="00A84443">
        <w:rPr>
          <w:lang w:val="sr-Latn-RS"/>
        </w:rPr>
        <w:t>.</w:t>
      </w:r>
      <w:r w:rsidR="001B1751">
        <w:rPr>
          <w:rStyle w:val="FootnoteReference"/>
          <w:lang w:val="sr-Latn-RS"/>
        </w:rPr>
        <w:footnoteReference w:id="8"/>
      </w:r>
      <w:r w:rsidR="00387B35" w:rsidRPr="00A84443">
        <w:rPr>
          <w:position w:val="8"/>
          <w:sz w:val="14"/>
          <w:lang w:val="sr-Latn-RS"/>
        </w:rPr>
        <w:t xml:space="preserve"> </w:t>
      </w:r>
      <w:r w:rsidR="00387B35" w:rsidRPr="00A84443">
        <w:rPr>
          <w:lang w:val="sr-Latn-RS"/>
        </w:rPr>
        <w:t>Prolong</w:t>
      </w:r>
      <w:r w:rsidRPr="00A84443">
        <w:rPr>
          <w:lang w:val="sr-Latn-RS"/>
        </w:rPr>
        <w:t>iranje režima vanredn</w:t>
      </w:r>
      <w:r w:rsidR="000309E6">
        <w:rPr>
          <w:lang w:val="sr-Latn-RS"/>
        </w:rPr>
        <w:t>og stanja</w:t>
      </w:r>
      <w:r w:rsidRPr="00A84443">
        <w:rPr>
          <w:lang w:val="sr-Latn-RS"/>
        </w:rPr>
        <w:t xml:space="preserve"> treba da podl</w:t>
      </w:r>
      <w:r w:rsidR="001E63D7">
        <w:rPr>
          <w:lang w:val="sr-Latn-RS"/>
        </w:rPr>
        <w:t>ij</w:t>
      </w:r>
      <w:r w:rsidRPr="00A84443">
        <w:rPr>
          <w:lang w:val="sr-Latn-RS"/>
        </w:rPr>
        <w:t>eže kontroli njen</w:t>
      </w:r>
      <w:r w:rsidR="000309E6">
        <w:rPr>
          <w:lang w:val="sr-Latn-RS"/>
        </w:rPr>
        <w:t>e</w:t>
      </w:r>
      <w:r w:rsidRPr="00A84443">
        <w:rPr>
          <w:lang w:val="sr-Latn-RS"/>
        </w:rPr>
        <w:t xml:space="preserve"> neophodnosti od strane parlamenta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Neograničeno produžavanje vanrednih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 xml:space="preserve">enja izvršne </w:t>
      </w:r>
      <w:r w:rsidRPr="003347F1">
        <w:rPr>
          <w:lang w:val="sr-Latn-RS"/>
        </w:rPr>
        <w:t xml:space="preserve">vlasti </w:t>
      </w:r>
      <w:r w:rsidR="00DB6038" w:rsidRPr="003347F1">
        <w:rPr>
          <w:lang w:val="sr-Latn-RS"/>
        </w:rPr>
        <w:t>nije dozvoljeno</w:t>
      </w:r>
      <w:r w:rsidR="001B1751" w:rsidRPr="003347F1">
        <w:rPr>
          <w:rStyle w:val="FootnoteReference"/>
          <w:lang w:val="sr-Latn-RS"/>
        </w:rPr>
        <w:footnoteReference w:id="9"/>
      </w:r>
      <w:r w:rsidR="00387B35" w:rsidRPr="003347F1">
        <w:rPr>
          <w:lang w:val="sr-Latn-RS"/>
        </w:rPr>
        <w:t>.</w:t>
      </w:r>
    </w:p>
    <w:p w14:paraId="61EC5D29" w14:textId="77777777" w:rsidR="00047EA6" w:rsidRPr="00A84443" w:rsidRDefault="00047EA6">
      <w:pPr>
        <w:pStyle w:val="BodyText"/>
        <w:spacing w:before="3"/>
        <w:rPr>
          <w:lang w:val="sr-Latn-RS"/>
        </w:rPr>
      </w:pPr>
    </w:p>
    <w:p w14:paraId="43BED5E5" w14:textId="204E6512" w:rsidR="00047EA6" w:rsidRDefault="00CE2868">
      <w:pPr>
        <w:pStyle w:val="BodyText"/>
        <w:spacing w:before="1"/>
        <w:ind w:left="117" w:right="414"/>
        <w:jc w:val="both"/>
        <w:rPr>
          <w:position w:val="8"/>
          <w:sz w:val="14"/>
          <w:lang w:val="sr-Latn-RS"/>
        </w:rPr>
      </w:pPr>
      <w:r w:rsidRPr="00A84443">
        <w:rPr>
          <w:lang w:val="sr-Latn-RS"/>
        </w:rPr>
        <w:t>Tokom trajanja vanredn</w:t>
      </w:r>
      <w:r w:rsidR="000309E6">
        <w:rPr>
          <w:lang w:val="sr-Latn-RS"/>
        </w:rPr>
        <w:t>og stanja</w:t>
      </w:r>
      <w:r w:rsidRPr="00A84443">
        <w:rPr>
          <w:lang w:val="sr-Latn-RS"/>
        </w:rPr>
        <w:t>, neophodno je ne samo da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>enja izvršne vlasti za zakonodavnu aktivnost bud</w:t>
      </w:r>
      <w:r w:rsidR="00174A6D" w:rsidRPr="00A84443">
        <w:rPr>
          <w:lang w:val="sr-Latn-RS"/>
        </w:rPr>
        <w:t>u</w:t>
      </w:r>
      <w:r w:rsidRPr="00A84443">
        <w:rPr>
          <w:lang w:val="sr-Latn-RS"/>
        </w:rPr>
        <w:t xml:space="preserve"> </w:t>
      </w:r>
      <w:r w:rsidR="00A84443" w:rsidRPr="00A84443">
        <w:rPr>
          <w:lang w:val="sr-Latn-RS"/>
        </w:rPr>
        <w:t>ograničena</w:t>
      </w:r>
      <w:r w:rsidRPr="00A84443">
        <w:rPr>
          <w:lang w:val="sr-Latn-RS"/>
        </w:rPr>
        <w:t xml:space="preserve"> trajanjem vanredn</w:t>
      </w:r>
      <w:r w:rsidR="000309E6">
        <w:rPr>
          <w:lang w:val="sr-Latn-RS"/>
        </w:rPr>
        <w:t>og stanja</w:t>
      </w:r>
      <w:r w:rsidR="00387B35" w:rsidRPr="00A84443">
        <w:rPr>
          <w:lang w:val="sr-Latn-RS"/>
        </w:rPr>
        <w:t>,</w:t>
      </w:r>
      <w:r w:rsidR="00387B35" w:rsidRPr="00A84443">
        <w:rPr>
          <w:spacing w:val="-2"/>
          <w:lang w:val="sr-Latn-RS"/>
        </w:rPr>
        <w:t xml:space="preserve"> </w:t>
      </w:r>
      <w:r w:rsidRPr="00A84443">
        <w:rPr>
          <w:spacing w:val="-2"/>
          <w:lang w:val="sr-Latn-RS"/>
        </w:rPr>
        <w:t xml:space="preserve">već je takođe neophodno da sva pravna akta </w:t>
      </w:r>
      <w:r w:rsidR="001E63D7">
        <w:rPr>
          <w:spacing w:val="-2"/>
          <w:lang w:val="sr-Latn-RS"/>
        </w:rPr>
        <w:t>usvojena</w:t>
      </w:r>
      <w:r w:rsidRPr="00A84443">
        <w:rPr>
          <w:spacing w:val="-2"/>
          <w:lang w:val="sr-Latn-RS"/>
        </w:rPr>
        <w:t xml:space="preserve"> tokom vanredn</w:t>
      </w:r>
      <w:r w:rsidR="000309E6">
        <w:rPr>
          <w:spacing w:val="-2"/>
          <w:lang w:val="sr-Latn-RS"/>
        </w:rPr>
        <w:t>og</w:t>
      </w:r>
      <w:r w:rsidRPr="00A84443">
        <w:rPr>
          <w:spacing w:val="-2"/>
          <w:lang w:val="sr-Latn-RS"/>
        </w:rPr>
        <w:t xml:space="preserve"> s</w:t>
      </w:r>
      <w:r w:rsidR="000309E6">
        <w:rPr>
          <w:spacing w:val="-2"/>
          <w:lang w:val="sr-Latn-RS"/>
        </w:rPr>
        <w:t>tanja</w:t>
      </w:r>
      <w:r w:rsidRPr="00A84443">
        <w:rPr>
          <w:spacing w:val="-2"/>
          <w:lang w:val="sr-Latn-RS"/>
        </w:rPr>
        <w:t xml:space="preserve"> sadrže u sebi jasna vremenska ograničenja o trajanju dotičnih vanrednih m</w:t>
      </w:r>
      <w:r w:rsidR="001E63D7">
        <w:rPr>
          <w:spacing w:val="-2"/>
          <w:lang w:val="sr-Latn-RS"/>
        </w:rPr>
        <w:t>j</w:t>
      </w:r>
      <w:r w:rsidRPr="00A84443">
        <w:rPr>
          <w:spacing w:val="-2"/>
          <w:lang w:val="sr-Latn-RS"/>
        </w:rPr>
        <w:t>era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 xml:space="preserve">neka vrsta </w:t>
      </w:r>
      <w:r w:rsidR="00387B35" w:rsidRPr="00A84443">
        <w:rPr>
          <w:lang w:val="sr-Latn-RS"/>
        </w:rPr>
        <w:t>“</w:t>
      </w:r>
      <w:r w:rsidRPr="00A84443">
        <w:rPr>
          <w:lang w:val="sr-Latn-RS"/>
        </w:rPr>
        <w:t xml:space="preserve">odredbe o </w:t>
      </w:r>
      <w:r w:rsidR="00D747E9">
        <w:rPr>
          <w:lang w:val="sr-Latn-RS"/>
        </w:rPr>
        <w:t>prestanku važenja</w:t>
      </w:r>
      <w:r w:rsidR="00387B35" w:rsidRPr="00A84443">
        <w:rPr>
          <w:lang w:val="sr-Latn-RS"/>
        </w:rPr>
        <w:t xml:space="preserve">”). </w:t>
      </w:r>
      <w:r w:rsidRPr="00A84443">
        <w:rPr>
          <w:lang w:val="sr-Latn-RS"/>
        </w:rPr>
        <w:t>U stvari, nakon okončanja vanred</w:t>
      </w:r>
      <w:r w:rsidR="00404FD1">
        <w:rPr>
          <w:lang w:val="sr-Latn-RS"/>
        </w:rPr>
        <w:t>ne situacije</w:t>
      </w:r>
      <w:r w:rsidR="007F2D96" w:rsidRPr="00A84443">
        <w:rPr>
          <w:lang w:val="sr-Latn-RS"/>
        </w:rPr>
        <w:t>, možda će biti opravdano da se nastavi sa prim</w:t>
      </w:r>
      <w:r w:rsidR="001E63D7">
        <w:rPr>
          <w:lang w:val="sr-Latn-RS"/>
        </w:rPr>
        <w:t>j</w:t>
      </w:r>
      <w:r w:rsidR="007F2D96" w:rsidRPr="00A84443">
        <w:rPr>
          <w:lang w:val="sr-Latn-RS"/>
        </w:rPr>
        <w:t xml:space="preserve">enom određenih </w:t>
      </w:r>
      <w:r w:rsidR="00A84443" w:rsidRPr="00A84443">
        <w:rPr>
          <w:lang w:val="sr-Latn-RS"/>
        </w:rPr>
        <w:t>specifičnih</w:t>
      </w:r>
      <w:r w:rsidR="007F2D96" w:rsidRPr="00A84443">
        <w:rPr>
          <w:lang w:val="sr-Latn-RS"/>
        </w:rPr>
        <w:t>, ciljanih m</w:t>
      </w:r>
      <w:r w:rsidR="001E63D7">
        <w:rPr>
          <w:lang w:val="sr-Latn-RS"/>
        </w:rPr>
        <w:t>j</w:t>
      </w:r>
      <w:r w:rsidR="007F2D96" w:rsidRPr="00A84443">
        <w:rPr>
          <w:lang w:val="sr-Latn-RS"/>
        </w:rPr>
        <w:t>era, ali takvi izuzeci potpadaju pod nadležnost parlamenta u redovnom postupku</w:t>
      </w:r>
      <w:r w:rsidR="00387B35" w:rsidRPr="00A84443">
        <w:rPr>
          <w:lang w:val="sr-Latn-RS"/>
        </w:rPr>
        <w:t>.</w:t>
      </w:r>
      <w:r w:rsidR="001B1751">
        <w:rPr>
          <w:rStyle w:val="FootnoteReference"/>
          <w:lang w:val="sr-Latn-RS"/>
        </w:rPr>
        <w:footnoteReference w:id="10"/>
      </w:r>
    </w:p>
    <w:p w14:paraId="0B209088" w14:textId="77777777" w:rsidR="00114900" w:rsidRPr="00A84443" w:rsidRDefault="00114900">
      <w:pPr>
        <w:pStyle w:val="BodyText"/>
        <w:spacing w:before="1"/>
        <w:ind w:left="117" w:right="414"/>
        <w:jc w:val="both"/>
        <w:rPr>
          <w:sz w:val="14"/>
          <w:lang w:val="sr-Latn-RS"/>
        </w:rPr>
      </w:pPr>
    </w:p>
    <w:p w14:paraId="7B5558D1" w14:textId="77777777" w:rsidR="00047EA6" w:rsidRPr="00844359" w:rsidRDefault="0061563C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spacing w:before="94"/>
        <w:rPr>
          <w:lang w:val="sr-Latn-RS"/>
        </w:rPr>
      </w:pPr>
      <w:r w:rsidRPr="00844359">
        <w:rPr>
          <w:lang w:val="sr-Latn-RS"/>
        </w:rPr>
        <w:t xml:space="preserve">Ograničen </w:t>
      </w:r>
      <w:r w:rsidR="000309E6" w:rsidRPr="00844359">
        <w:rPr>
          <w:lang w:val="sr-Latn-RS"/>
        </w:rPr>
        <w:t>o</w:t>
      </w:r>
      <w:r w:rsidR="00680F7B" w:rsidRPr="00844359">
        <w:rPr>
          <w:lang w:val="sr-Latn-RS"/>
        </w:rPr>
        <w:t>pseg</w:t>
      </w:r>
      <w:r w:rsidRPr="00844359">
        <w:rPr>
          <w:lang w:val="sr-Latn-RS"/>
        </w:rPr>
        <w:t xml:space="preserve"> vanrednog zakonodavstva</w:t>
      </w:r>
      <w:r w:rsidR="00387B35" w:rsidRPr="00844359">
        <w:rPr>
          <w:lang w:val="sr-Latn-RS"/>
        </w:rPr>
        <w:t xml:space="preserve">; </w:t>
      </w:r>
      <w:r w:rsidRPr="00844359">
        <w:rPr>
          <w:lang w:val="sr-Latn-RS"/>
        </w:rPr>
        <w:t>načelo neophodnosti</w:t>
      </w:r>
    </w:p>
    <w:p w14:paraId="143D3899" w14:textId="77777777" w:rsidR="00047EA6" w:rsidRPr="00A84443" w:rsidRDefault="00047EA6">
      <w:pPr>
        <w:pStyle w:val="BodyText"/>
        <w:spacing w:before="3"/>
        <w:rPr>
          <w:b/>
          <w:i/>
          <w:lang w:val="sr-Latn-RS"/>
        </w:rPr>
      </w:pPr>
    </w:p>
    <w:p w14:paraId="0BB10400" w14:textId="043DE70C" w:rsidR="00047EA6" w:rsidRPr="00A84443" w:rsidRDefault="0061563C" w:rsidP="00680F7B">
      <w:pPr>
        <w:pStyle w:val="BodyText"/>
        <w:spacing w:line="237" w:lineRule="auto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 xml:space="preserve">Načelo </w:t>
      </w:r>
      <w:r w:rsidR="00A84443" w:rsidRPr="00A84443">
        <w:rPr>
          <w:lang w:val="sr-Latn-RS"/>
        </w:rPr>
        <w:t>neophodnosti</w:t>
      </w:r>
      <w:r w:rsidRPr="00A84443">
        <w:rPr>
          <w:lang w:val="sr-Latn-RS"/>
        </w:rPr>
        <w:t xml:space="preserve"> zaht</w:t>
      </w:r>
      <w:r w:rsidR="001E63D7">
        <w:rPr>
          <w:lang w:val="sr-Latn-RS"/>
        </w:rPr>
        <w:t>j</w:t>
      </w:r>
      <w:r w:rsidRPr="00A84443">
        <w:rPr>
          <w:lang w:val="sr-Latn-RS"/>
        </w:rPr>
        <w:t>eva da vanredne m</w:t>
      </w:r>
      <w:r w:rsidR="001E63D7">
        <w:rPr>
          <w:lang w:val="sr-Latn-RS"/>
        </w:rPr>
        <w:t>j</w:t>
      </w:r>
      <w:r w:rsidRPr="00A84443">
        <w:rPr>
          <w:lang w:val="sr-Latn-RS"/>
        </w:rPr>
        <w:t>ere moraju da budu u stanju da ostvare svoju svrhu uz minimalne izm</w:t>
      </w:r>
      <w:r w:rsidR="001E63D7">
        <w:rPr>
          <w:lang w:val="sr-Latn-RS"/>
        </w:rPr>
        <w:t>j</w:t>
      </w:r>
      <w:r w:rsidRPr="00A84443">
        <w:rPr>
          <w:lang w:val="sr-Latn-RS"/>
        </w:rPr>
        <w:t>ene uobičajenih pravila i procedura u postupku demokratskog odlučivanja</w:t>
      </w:r>
      <w:r w:rsidR="001B1751">
        <w:rPr>
          <w:rStyle w:val="FootnoteReference"/>
          <w:lang w:val="sr-Latn-RS"/>
        </w:rPr>
        <w:footnoteReference w:id="11"/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Prema tome,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>enja koja zakonodavna vlast daje izvršnoj vlasti da usvaja vanredne uredbe ne treba da imaju za posl</w:t>
      </w:r>
      <w:r w:rsidR="00017C59">
        <w:rPr>
          <w:lang w:val="sr-Latn-RS"/>
        </w:rPr>
        <w:t>j</w:t>
      </w:r>
      <w:r w:rsidRPr="00A84443">
        <w:rPr>
          <w:lang w:val="sr-Latn-RS"/>
        </w:rPr>
        <w:t xml:space="preserve">edicu tzv. </w:t>
      </w:r>
      <w:r w:rsidR="00387B35" w:rsidRPr="00A84443">
        <w:rPr>
          <w:i/>
          <w:lang w:val="sr-Latn-RS"/>
        </w:rPr>
        <w:t xml:space="preserve">carte blanche </w:t>
      </w:r>
      <w:r w:rsidRPr="00A84443">
        <w:rPr>
          <w:lang w:val="sr-Latn-RS"/>
        </w:rPr>
        <w:t>odnosno potpuno odr</w:t>
      </w:r>
      <w:r w:rsidR="00017C59">
        <w:rPr>
          <w:lang w:val="sr-Latn-RS"/>
        </w:rPr>
        <w:t>ij</w:t>
      </w:r>
      <w:r w:rsidRPr="00A84443">
        <w:rPr>
          <w:lang w:val="sr-Latn-RS"/>
        </w:rPr>
        <w:t>ešene ruke izvršne vlasti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Zbog brzog i nepredvidivog razvoja krize, možda će biti potrebno relativno široko prenošenje zakonodavnih ovlaš</w:t>
      </w:r>
      <w:r w:rsidR="00017C59">
        <w:rPr>
          <w:lang w:val="sr-Latn-RS"/>
        </w:rPr>
        <w:t>t</w:t>
      </w:r>
      <w:r w:rsidRPr="00A84443">
        <w:rPr>
          <w:lang w:val="sr-Latn-RS"/>
        </w:rPr>
        <w:t>enja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ali ga treba formulisati što je uže moguće u datim okolnostima, sa ciljem da se smanji bilo kakav potencijal za zloupotrebu</w:t>
      </w:r>
      <w:r w:rsidR="004D576E">
        <w:rPr>
          <w:rStyle w:val="FootnoteReference"/>
          <w:lang w:val="sr-Latn-RS"/>
        </w:rPr>
        <w:footnoteReference w:id="12"/>
      </w:r>
      <w:r w:rsidR="004D576E">
        <w:rPr>
          <w:lang w:val="sr-Latn-RS"/>
        </w:rPr>
        <w:t xml:space="preserve">. </w:t>
      </w:r>
      <w:r w:rsidRPr="00A84443">
        <w:rPr>
          <w:spacing w:val="-3"/>
          <w:lang w:val="sr-Latn-RS"/>
        </w:rPr>
        <w:t>Opšte je pravilo da tokom trajanja vanredn</w:t>
      </w:r>
      <w:r w:rsidR="004859CD">
        <w:rPr>
          <w:spacing w:val="-3"/>
          <w:lang w:val="sr-Latn-RS"/>
        </w:rPr>
        <w:t>og stanja</w:t>
      </w:r>
      <w:r w:rsidRPr="00A84443">
        <w:rPr>
          <w:spacing w:val="-3"/>
          <w:lang w:val="sr-Latn-RS"/>
        </w:rPr>
        <w:t xml:space="preserve"> treba odgoditi </w:t>
      </w:r>
      <w:r w:rsidR="00511431">
        <w:rPr>
          <w:lang w:val="sr-Latn-RS"/>
        </w:rPr>
        <w:t>fundamentalne</w:t>
      </w:r>
      <w:r w:rsidRPr="00A84443">
        <w:rPr>
          <w:lang w:val="sr-Latn-RS"/>
        </w:rPr>
        <w:t xml:space="preserve"> zakonske </w:t>
      </w:r>
      <w:r w:rsidR="00387B35" w:rsidRPr="00A84443">
        <w:rPr>
          <w:lang w:val="sr-Latn-RS"/>
        </w:rPr>
        <w:t>reform</w:t>
      </w:r>
      <w:r w:rsidRPr="00A84443">
        <w:rPr>
          <w:lang w:val="sr-Latn-RS"/>
        </w:rPr>
        <w:t>e</w:t>
      </w:r>
      <w:r w:rsidR="004D576E">
        <w:rPr>
          <w:rStyle w:val="FootnoteReference"/>
          <w:lang w:val="sr-Latn-RS"/>
        </w:rPr>
        <w:footnoteReference w:id="13"/>
      </w:r>
      <w:r w:rsidR="00387B35" w:rsidRPr="00A84443">
        <w:rPr>
          <w:lang w:val="sr-Latn-RS"/>
        </w:rPr>
        <w:t>.</w:t>
      </w:r>
    </w:p>
    <w:p w14:paraId="20F3333E" w14:textId="77777777" w:rsidR="00047EA6" w:rsidRPr="00A84443" w:rsidRDefault="00047EA6">
      <w:pPr>
        <w:pStyle w:val="BodyText"/>
        <w:spacing w:before="4"/>
        <w:rPr>
          <w:sz w:val="25"/>
          <w:lang w:val="sr-Latn-RS"/>
        </w:rPr>
      </w:pPr>
    </w:p>
    <w:p w14:paraId="2D0190B1" w14:textId="55D579E5" w:rsidR="00047EA6" w:rsidRPr="00EF169F" w:rsidRDefault="0061563C">
      <w:pPr>
        <w:pStyle w:val="Heading3"/>
        <w:numPr>
          <w:ilvl w:val="1"/>
          <w:numId w:val="1"/>
        </w:numPr>
        <w:tabs>
          <w:tab w:val="left" w:pos="1198"/>
        </w:tabs>
        <w:ind w:right="420"/>
        <w:jc w:val="both"/>
        <w:rPr>
          <w:lang w:val="sr-Latn-RS"/>
        </w:rPr>
      </w:pPr>
      <w:r w:rsidRPr="00EF169F">
        <w:rPr>
          <w:lang w:val="sr-Latn-RS"/>
        </w:rPr>
        <w:t>Pod</w:t>
      </w:r>
      <w:r w:rsidR="00017C59">
        <w:rPr>
          <w:lang w:val="sr-Latn-RS"/>
        </w:rPr>
        <w:t>j</w:t>
      </w:r>
      <w:r w:rsidRPr="00EF169F">
        <w:rPr>
          <w:lang w:val="sr-Latn-RS"/>
        </w:rPr>
        <w:t xml:space="preserve">ela vlasti i </w:t>
      </w:r>
      <w:r w:rsidR="005A0EF3">
        <w:rPr>
          <w:lang w:val="sr-Latn-RS"/>
        </w:rPr>
        <w:t xml:space="preserve">nadzor </w:t>
      </w:r>
      <w:r w:rsidRPr="00EF169F">
        <w:rPr>
          <w:lang w:val="sr-Latn-RS"/>
        </w:rPr>
        <w:t xml:space="preserve">nad </w:t>
      </w:r>
      <w:r w:rsidR="005A0EF3">
        <w:rPr>
          <w:lang w:val="sr-Latn-RS"/>
        </w:rPr>
        <w:t xml:space="preserve">radom </w:t>
      </w:r>
      <w:r w:rsidRPr="00EF169F">
        <w:rPr>
          <w:lang w:val="sr-Latn-RS"/>
        </w:rPr>
        <w:t>izvršn</w:t>
      </w:r>
      <w:r w:rsidR="005A0EF3">
        <w:rPr>
          <w:lang w:val="sr-Latn-RS"/>
        </w:rPr>
        <w:t>e</w:t>
      </w:r>
      <w:r w:rsidRPr="00EF169F">
        <w:rPr>
          <w:lang w:val="sr-Latn-RS"/>
        </w:rPr>
        <w:t xml:space="preserve"> </w:t>
      </w:r>
      <w:r w:rsidR="0070370F" w:rsidRPr="00EF169F">
        <w:rPr>
          <w:lang w:val="sr-Latn-RS"/>
        </w:rPr>
        <w:t>v</w:t>
      </w:r>
      <w:r w:rsidRPr="00EF169F">
        <w:rPr>
          <w:lang w:val="sr-Latn-RS"/>
        </w:rPr>
        <w:t>la</w:t>
      </w:r>
      <w:r w:rsidR="005A0EF3">
        <w:rPr>
          <w:lang w:val="sr-Latn-RS"/>
        </w:rPr>
        <w:t>sti</w:t>
      </w:r>
      <w:r w:rsidRPr="00EF169F">
        <w:rPr>
          <w:lang w:val="sr-Latn-RS"/>
        </w:rPr>
        <w:t xml:space="preserve"> tokom trajanja </w:t>
      </w:r>
      <w:r w:rsidR="00404FD1" w:rsidRPr="00EF169F">
        <w:rPr>
          <w:lang w:val="sr-Latn-RS"/>
        </w:rPr>
        <w:t xml:space="preserve">režima </w:t>
      </w:r>
      <w:r w:rsidRPr="00EF169F">
        <w:rPr>
          <w:lang w:val="sr-Latn-RS"/>
        </w:rPr>
        <w:t xml:space="preserve">vanrednog </w:t>
      </w:r>
      <w:r w:rsidR="00404FD1" w:rsidRPr="00EF169F">
        <w:rPr>
          <w:lang w:val="sr-Latn-RS"/>
        </w:rPr>
        <w:t>stanja</w:t>
      </w:r>
    </w:p>
    <w:p w14:paraId="30188E80" w14:textId="77777777" w:rsidR="00047EA6" w:rsidRPr="00A84443" w:rsidRDefault="00047EA6">
      <w:pPr>
        <w:pStyle w:val="BodyText"/>
        <w:spacing w:before="2"/>
        <w:rPr>
          <w:b/>
          <w:i/>
          <w:lang w:val="sr-Latn-RS"/>
        </w:rPr>
      </w:pPr>
    </w:p>
    <w:p w14:paraId="391F80D1" w14:textId="278F9657" w:rsidR="00047EA6" w:rsidRPr="00A84443" w:rsidRDefault="006D36BD">
      <w:pPr>
        <w:pStyle w:val="BodyText"/>
        <w:ind w:left="117" w:right="413"/>
        <w:jc w:val="both"/>
        <w:rPr>
          <w:lang w:val="sr-Latn-RS"/>
        </w:rPr>
      </w:pPr>
      <w:r w:rsidRPr="00A84443">
        <w:rPr>
          <w:lang w:val="sr-Latn-RS"/>
        </w:rPr>
        <w:t>Trebalo bi da izvršni organi budu u stanju da d</w:t>
      </w:r>
      <w:r w:rsidR="00017C59">
        <w:rPr>
          <w:lang w:val="sr-Latn-RS"/>
        </w:rPr>
        <w:t>j</w:t>
      </w:r>
      <w:r w:rsidRPr="00A84443">
        <w:rPr>
          <w:lang w:val="sr-Latn-RS"/>
        </w:rPr>
        <w:t>eluju brzo i efikasno</w:t>
      </w:r>
      <w:r w:rsidR="00387B35" w:rsidRPr="00A84443">
        <w:rPr>
          <w:lang w:val="sr-Latn-RS"/>
        </w:rPr>
        <w:t>. T</w:t>
      </w:r>
      <w:r w:rsidRPr="00A84443">
        <w:rPr>
          <w:lang w:val="sr-Latn-RS"/>
        </w:rPr>
        <w:t>o može da zaht</w:t>
      </w:r>
      <w:r w:rsidR="00017C59">
        <w:rPr>
          <w:lang w:val="sr-Latn-RS"/>
        </w:rPr>
        <w:t>j</w:t>
      </w:r>
      <w:r w:rsidRPr="00A84443">
        <w:rPr>
          <w:lang w:val="sr-Latn-RS"/>
        </w:rPr>
        <w:t>eva usvajanje jednostavnijeg postupka odl</w:t>
      </w:r>
      <w:r w:rsidR="0070370F" w:rsidRPr="00A84443">
        <w:rPr>
          <w:lang w:val="sr-Latn-RS"/>
        </w:rPr>
        <w:t>u</w:t>
      </w:r>
      <w:r w:rsidRPr="00A84443">
        <w:rPr>
          <w:lang w:val="sr-Latn-RS"/>
        </w:rPr>
        <w:t xml:space="preserve">čivanja i </w:t>
      </w:r>
      <w:r w:rsidR="0070370F" w:rsidRPr="00A84443">
        <w:rPr>
          <w:lang w:val="sr-Latn-RS"/>
        </w:rPr>
        <w:t>u</w:t>
      </w:r>
      <w:r w:rsidRPr="00A84443">
        <w:rPr>
          <w:lang w:val="sr-Latn-RS"/>
        </w:rPr>
        <w:t>blažavanje određenih m</w:t>
      </w:r>
      <w:r w:rsidR="00017C59">
        <w:rPr>
          <w:lang w:val="sr-Latn-RS"/>
        </w:rPr>
        <w:t>j</w:t>
      </w:r>
      <w:r w:rsidRPr="00A84443">
        <w:rPr>
          <w:lang w:val="sr-Latn-RS"/>
        </w:rPr>
        <w:t>era vršenja kontrole</w:t>
      </w:r>
      <w:r w:rsidR="00387B35" w:rsidRPr="00A84443">
        <w:rPr>
          <w:lang w:val="sr-Latn-RS"/>
        </w:rPr>
        <w:t>. T</w:t>
      </w:r>
      <w:r w:rsidRPr="00A84443">
        <w:rPr>
          <w:lang w:val="sr-Latn-RS"/>
        </w:rPr>
        <w:t>o takođe može da uključuje, u m</w:t>
      </w:r>
      <w:r w:rsidR="00017C59">
        <w:rPr>
          <w:lang w:val="sr-Latn-RS"/>
        </w:rPr>
        <w:t>j</w:t>
      </w:r>
      <w:r w:rsidRPr="00A84443">
        <w:rPr>
          <w:lang w:val="sr-Latn-RS"/>
        </w:rPr>
        <w:t xml:space="preserve">eri u kojoj je to dozvoljeno ustavom, zaobilaženje </w:t>
      </w:r>
      <w:r w:rsidR="00387B35" w:rsidRPr="00A84443">
        <w:rPr>
          <w:lang w:val="sr-Latn-RS"/>
        </w:rPr>
        <w:t>standard</w:t>
      </w:r>
      <w:r w:rsidRPr="00A84443">
        <w:rPr>
          <w:lang w:val="sr-Latn-RS"/>
        </w:rPr>
        <w:t>ne pod</w:t>
      </w:r>
      <w:r w:rsidR="00017C59">
        <w:rPr>
          <w:lang w:val="sr-Latn-RS"/>
        </w:rPr>
        <w:t>j</w:t>
      </w:r>
      <w:r w:rsidRPr="00A84443">
        <w:rPr>
          <w:lang w:val="sr-Latn-RS"/>
        </w:rPr>
        <w:t xml:space="preserve">ele nadležnosti između organa na lokalnom, </w:t>
      </w:r>
      <w:r w:rsidR="00387B35" w:rsidRPr="00A84443">
        <w:rPr>
          <w:lang w:val="sr-Latn-RS"/>
        </w:rPr>
        <w:t>regional</w:t>
      </w:r>
      <w:r w:rsidRPr="00A84443">
        <w:rPr>
          <w:lang w:val="sr-Latn-RS"/>
        </w:rPr>
        <w:t>nom</w:t>
      </w:r>
      <w:r w:rsidR="00387B35" w:rsidRPr="00A84443">
        <w:rPr>
          <w:lang w:val="sr-Latn-RS"/>
        </w:rPr>
        <w:t xml:space="preserve">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central</w:t>
      </w:r>
      <w:r w:rsidRPr="00A84443">
        <w:rPr>
          <w:lang w:val="sr-Latn-RS"/>
        </w:rPr>
        <w:t xml:space="preserve">nom nivou u odnosu na određene konkretne, </w:t>
      </w:r>
      <w:r w:rsidR="00A84443" w:rsidRPr="00A84443">
        <w:rPr>
          <w:lang w:val="sr-Latn-RS"/>
        </w:rPr>
        <w:t>ograničene</w:t>
      </w:r>
      <w:r w:rsidRPr="00A84443">
        <w:rPr>
          <w:lang w:val="sr-Latn-RS"/>
        </w:rPr>
        <w:t xml:space="preserve"> oblasti, da bi se osigurao bolje koordinisan odgovor na krizu i podrazum</w:t>
      </w:r>
      <w:r w:rsidR="00017C59">
        <w:rPr>
          <w:lang w:val="sr-Latn-RS"/>
        </w:rPr>
        <w:t>j</w:t>
      </w:r>
      <w:r w:rsidRPr="00A84443">
        <w:rPr>
          <w:lang w:val="sr-Latn-RS"/>
        </w:rPr>
        <w:t>eva da je jasno da će puna prava lokalnih i regionalnih organa biti ponovo uspostavljena čim situacija to dozvoli</w:t>
      </w:r>
      <w:r w:rsidR="00387B35" w:rsidRPr="00A84443">
        <w:rPr>
          <w:lang w:val="sr-Latn-RS"/>
        </w:rPr>
        <w:t>.</w:t>
      </w:r>
    </w:p>
    <w:p w14:paraId="089DB43C" w14:textId="77777777" w:rsidR="00047EA6" w:rsidRPr="00A84443" w:rsidRDefault="00047EA6">
      <w:pPr>
        <w:pStyle w:val="BodyText"/>
        <w:spacing w:before="5"/>
        <w:rPr>
          <w:sz w:val="21"/>
          <w:lang w:val="sr-Latn-RS"/>
        </w:rPr>
      </w:pPr>
    </w:p>
    <w:p w14:paraId="25182143" w14:textId="56CC2F81" w:rsidR="00047EA6" w:rsidRPr="00A84443" w:rsidRDefault="00387B35">
      <w:pPr>
        <w:pStyle w:val="BodyText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lastRenderedPageBreak/>
        <w:t>Parlament</w:t>
      </w:r>
      <w:r w:rsidR="006D36BD" w:rsidRPr="00A84443">
        <w:rPr>
          <w:lang w:val="sr-Latn-RS"/>
        </w:rPr>
        <w:t>i, međutim, moraju da zadrže ovlaš</w:t>
      </w:r>
      <w:r w:rsidR="00E54599">
        <w:rPr>
          <w:lang w:val="sr-Latn-RS"/>
        </w:rPr>
        <w:t>t</w:t>
      </w:r>
      <w:r w:rsidR="006D36BD" w:rsidRPr="00A84443">
        <w:rPr>
          <w:lang w:val="sr-Latn-RS"/>
        </w:rPr>
        <w:t xml:space="preserve">enje </w:t>
      </w:r>
      <w:r w:rsidR="001B1EB9">
        <w:rPr>
          <w:lang w:val="sr-Latn-RS"/>
        </w:rPr>
        <w:t>d</w:t>
      </w:r>
      <w:r w:rsidR="006D36BD" w:rsidRPr="00A84443">
        <w:rPr>
          <w:lang w:val="sr-Latn-RS"/>
        </w:rPr>
        <w:t>a kontrolišu rad izvršne vlasti</w:t>
      </w:r>
      <w:r w:rsidR="001B1EB9">
        <w:rPr>
          <w:rStyle w:val="FootnoteReference"/>
          <w:lang w:val="sr-Latn-RS"/>
        </w:rPr>
        <w:footnoteReference w:id="14"/>
      </w:r>
      <w:r w:rsidRPr="00A84443">
        <w:rPr>
          <w:b/>
          <w:spacing w:val="17"/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>n</w:t>
      </w:r>
      <w:r w:rsidR="006D36BD" w:rsidRPr="00A84443">
        <w:rPr>
          <w:lang w:val="sr-Latn-RS"/>
        </w:rPr>
        <w:t>aročito u smislu prov</w:t>
      </w:r>
      <w:r w:rsidR="00E54599">
        <w:rPr>
          <w:lang w:val="sr-Latn-RS"/>
        </w:rPr>
        <w:t>j</w:t>
      </w:r>
      <w:r w:rsidR="006D36BD" w:rsidRPr="00A84443">
        <w:rPr>
          <w:lang w:val="sr-Latn-RS"/>
        </w:rPr>
        <w:t>ere, u razumnim vremenskim intervalima, da li su vanredna ovlaš</w:t>
      </w:r>
      <w:r w:rsidR="00E54599">
        <w:rPr>
          <w:lang w:val="sr-Latn-RS"/>
        </w:rPr>
        <w:t>t</w:t>
      </w:r>
      <w:r w:rsidR="006D36BD" w:rsidRPr="00A84443">
        <w:rPr>
          <w:lang w:val="sr-Latn-RS"/>
        </w:rPr>
        <w:t>enja izvršne vlasti i dalje opravdana</w:t>
      </w:r>
      <w:r w:rsidRPr="00A84443">
        <w:rPr>
          <w:lang w:val="sr-Latn-RS"/>
        </w:rPr>
        <w:t xml:space="preserve">, </w:t>
      </w:r>
      <w:r w:rsidR="006D36BD" w:rsidRPr="00A84443">
        <w:rPr>
          <w:lang w:val="sr-Latn-RS"/>
        </w:rPr>
        <w:t xml:space="preserve">ili kroz intervenisanje na </w:t>
      </w:r>
      <w:r w:rsidRPr="00A84443">
        <w:rPr>
          <w:i/>
          <w:lang w:val="sr-Latn-RS"/>
        </w:rPr>
        <w:t xml:space="preserve">ad hoc </w:t>
      </w:r>
      <w:r w:rsidR="006D36BD" w:rsidRPr="00A84443">
        <w:rPr>
          <w:lang w:val="sr-Latn-RS"/>
        </w:rPr>
        <w:t>osnovi radi izm</w:t>
      </w:r>
      <w:r w:rsidR="00E54599">
        <w:rPr>
          <w:lang w:val="sr-Latn-RS"/>
        </w:rPr>
        <w:t>j</w:t>
      </w:r>
      <w:r w:rsidR="006D36BD" w:rsidRPr="00A84443">
        <w:rPr>
          <w:lang w:val="sr-Latn-RS"/>
        </w:rPr>
        <w:t>ene ili poništavanj</w:t>
      </w:r>
      <w:r w:rsidR="00E54599">
        <w:rPr>
          <w:lang w:val="sr-Latn-RS"/>
        </w:rPr>
        <w:t>a</w:t>
      </w:r>
      <w:r w:rsidR="006D36BD" w:rsidRPr="00A84443">
        <w:rPr>
          <w:lang w:val="sr-Latn-RS"/>
        </w:rPr>
        <w:t xml:space="preserve"> odluka izvršne vlasti</w:t>
      </w:r>
      <w:r w:rsidRPr="00A84443">
        <w:rPr>
          <w:lang w:val="sr-Latn-RS"/>
        </w:rPr>
        <w:t>.</w:t>
      </w:r>
      <w:r w:rsidR="001B1EB9">
        <w:rPr>
          <w:rStyle w:val="FootnoteReference"/>
          <w:lang w:val="sr-Latn-RS"/>
        </w:rPr>
        <w:footnoteReference w:id="15"/>
      </w:r>
      <w:r w:rsidRPr="00A84443">
        <w:rPr>
          <w:position w:val="8"/>
          <w:sz w:val="14"/>
          <w:lang w:val="sr-Latn-RS"/>
        </w:rPr>
        <w:t xml:space="preserve"> </w:t>
      </w:r>
      <w:r w:rsidR="006D36BD" w:rsidRPr="00A84443">
        <w:rPr>
          <w:lang w:val="sr-Latn-RS"/>
        </w:rPr>
        <w:t>Ne bi trebalo da bude moguće raspuštanje parlamen</w:t>
      </w:r>
      <w:r w:rsidR="001B1EB9">
        <w:rPr>
          <w:lang w:val="sr-Latn-RS"/>
        </w:rPr>
        <w:t>ata</w:t>
      </w:r>
      <w:r w:rsidR="006D36BD" w:rsidRPr="00A84443">
        <w:rPr>
          <w:lang w:val="sr-Latn-RS"/>
        </w:rPr>
        <w:t xml:space="preserve"> tokom vanredn</w:t>
      </w:r>
      <w:r w:rsidR="001B1EB9">
        <w:rPr>
          <w:lang w:val="sr-Latn-RS"/>
        </w:rPr>
        <w:t>ih</w:t>
      </w:r>
      <w:r w:rsidR="006D36BD" w:rsidRPr="00A84443">
        <w:rPr>
          <w:lang w:val="sr-Latn-RS"/>
        </w:rPr>
        <w:t xml:space="preserve"> s</w:t>
      </w:r>
      <w:r w:rsidR="001B1EB9">
        <w:rPr>
          <w:lang w:val="sr-Latn-RS"/>
        </w:rPr>
        <w:t>tanja</w:t>
      </w:r>
      <w:r w:rsidRPr="00A84443">
        <w:rPr>
          <w:lang w:val="sr-Latn-RS"/>
        </w:rPr>
        <w:t xml:space="preserve">, </w:t>
      </w:r>
      <w:r w:rsidR="006D36BD" w:rsidRPr="00A84443">
        <w:rPr>
          <w:lang w:val="sr-Latn-RS"/>
        </w:rPr>
        <w:t xml:space="preserve">i </w:t>
      </w:r>
      <w:r w:rsidR="001B1EB9">
        <w:rPr>
          <w:lang w:val="sr-Latn-RS"/>
        </w:rPr>
        <w:t>zaista</w:t>
      </w:r>
      <w:r w:rsidR="006D36BD" w:rsidRPr="00A84443">
        <w:rPr>
          <w:lang w:val="sr-Latn-RS"/>
        </w:rPr>
        <w:t xml:space="preserve"> </w:t>
      </w:r>
      <w:r w:rsidR="001B1EB9">
        <w:rPr>
          <w:lang w:val="sr-Latn-RS"/>
        </w:rPr>
        <w:t>prema</w:t>
      </w:r>
      <w:r w:rsidR="006D36BD" w:rsidRPr="00A84443">
        <w:rPr>
          <w:lang w:val="sr-Latn-RS"/>
        </w:rPr>
        <w:t xml:space="preserve"> </w:t>
      </w:r>
      <w:r w:rsidR="001B1EB9">
        <w:rPr>
          <w:lang w:val="sr-Latn-RS"/>
        </w:rPr>
        <w:t>mnogim</w:t>
      </w:r>
      <w:r w:rsidR="006D36BD" w:rsidRPr="00A84443">
        <w:rPr>
          <w:lang w:val="sr-Latn-RS"/>
        </w:rPr>
        <w:t xml:space="preserve"> ustavima mandat parlamenta se produžava do isteka vanredn</w:t>
      </w:r>
      <w:r w:rsidR="001B1EB9">
        <w:rPr>
          <w:lang w:val="sr-Latn-RS"/>
        </w:rPr>
        <w:t>og stanja</w:t>
      </w:r>
      <w:r w:rsidRPr="00A84443">
        <w:rPr>
          <w:lang w:val="sr-Latn-RS"/>
        </w:rPr>
        <w:t>.</w:t>
      </w:r>
    </w:p>
    <w:p w14:paraId="29C0DB69" w14:textId="77777777" w:rsidR="00047EA6" w:rsidRPr="00A84443" w:rsidRDefault="00047EA6">
      <w:pPr>
        <w:pStyle w:val="BodyText"/>
        <w:spacing w:before="7"/>
        <w:rPr>
          <w:sz w:val="21"/>
          <w:lang w:val="sr-Latn-RS"/>
        </w:rPr>
      </w:pPr>
    </w:p>
    <w:p w14:paraId="66AE1D57" w14:textId="712B451C" w:rsidR="00047EA6" w:rsidRPr="00A84443" w:rsidRDefault="005A0EF3">
      <w:pPr>
        <w:pStyle w:val="BodyText"/>
        <w:spacing w:before="1"/>
        <w:ind w:left="117" w:right="417"/>
        <w:jc w:val="both"/>
        <w:rPr>
          <w:lang w:val="sr-Latn-RS"/>
        </w:rPr>
      </w:pPr>
      <w:r>
        <w:rPr>
          <w:lang w:val="sr-Latn-RS"/>
        </w:rPr>
        <w:t>Potrebno je da se održi k</w:t>
      </w:r>
      <w:r w:rsidR="00253263" w:rsidRPr="00A84443">
        <w:rPr>
          <w:lang w:val="sr-Latn-RS"/>
        </w:rPr>
        <w:t xml:space="preserve">ljučna funkcija pravosuđa </w:t>
      </w:r>
      <w:r w:rsidR="00387B35" w:rsidRPr="00A84443">
        <w:rPr>
          <w:lang w:val="sr-Latn-RS"/>
        </w:rPr>
        <w:t>– n</w:t>
      </w:r>
      <w:r w:rsidR="00253263" w:rsidRPr="00A84443">
        <w:rPr>
          <w:lang w:val="sr-Latn-RS"/>
        </w:rPr>
        <w:t xml:space="preserve">aročito ustavnih sudova, </w:t>
      </w:r>
      <w:r w:rsidR="00752B10">
        <w:rPr>
          <w:lang w:val="sr-Latn-RS"/>
        </w:rPr>
        <w:t>tamo gd</w:t>
      </w:r>
      <w:r w:rsidR="00E54599">
        <w:rPr>
          <w:lang w:val="sr-Latn-RS"/>
        </w:rPr>
        <w:t>j</w:t>
      </w:r>
      <w:r w:rsidR="00752B10">
        <w:rPr>
          <w:lang w:val="sr-Latn-RS"/>
        </w:rPr>
        <w:t>e postoje</w:t>
      </w:r>
      <w:r w:rsidR="00387B35" w:rsidRPr="00A84443">
        <w:rPr>
          <w:lang w:val="sr-Latn-RS"/>
        </w:rPr>
        <w:t xml:space="preserve">. </w:t>
      </w:r>
      <w:r w:rsidR="00253263" w:rsidRPr="00A84443">
        <w:rPr>
          <w:lang w:val="sr-Latn-RS"/>
        </w:rPr>
        <w:t xml:space="preserve">Važno je da sudije mogu da razmatraju </w:t>
      </w:r>
      <w:r w:rsidR="00A84443" w:rsidRPr="00A84443">
        <w:rPr>
          <w:lang w:val="sr-Latn-RS"/>
        </w:rPr>
        <w:t>najozbiljnija</w:t>
      </w:r>
      <w:r w:rsidR="00253263" w:rsidRPr="00A84443">
        <w:rPr>
          <w:lang w:val="sr-Latn-RS"/>
        </w:rPr>
        <w:t xml:space="preserve"> ogranič</w:t>
      </w:r>
      <w:r>
        <w:rPr>
          <w:lang w:val="sr-Latn-RS"/>
        </w:rPr>
        <w:t>enja</w:t>
      </w:r>
      <w:r w:rsidR="00253263" w:rsidRPr="00A84443">
        <w:rPr>
          <w:lang w:val="sr-Latn-RS"/>
        </w:rPr>
        <w:t xml:space="preserve"> ljudskih prava koja se uvode vanrednim zakonodavstvom</w:t>
      </w:r>
      <w:r w:rsidR="00387B35" w:rsidRPr="00A84443">
        <w:rPr>
          <w:lang w:val="sr-Latn-RS"/>
        </w:rPr>
        <w:t xml:space="preserve">. </w:t>
      </w:r>
      <w:r>
        <w:rPr>
          <w:lang w:val="sr-Latn-RS"/>
        </w:rPr>
        <w:t xml:space="preserve">Moguće je da će biti </w:t>
      </w:r>
      <w:r w:rsidR="00253263" w:rsidRPr="00A84443">
        <w:rPr>
          <w:lang w:val="sr-Latn-RS"/>
        </w:rPr>
        <w:t>dozvoljeno obustavljanje postupaka</w:t>
      </w:r>
      <w:r w:rsidR="00387B35" w:rsidRPr="00A84443">
        <w:rPr>
          <w:lang w:val="sr-Latn-RS"/>
        </w:rPr>
        <w:t>, “</w:t>
      </w:r>
      <w:r w:rsidR="00752B10">
        <w:rPr>
          <w:lang w:val="sr-Latn-RS"/>
        </w:rPr>
        <w:t>ubrzano</w:t>
      </w:r>
      <w:r w:rsidR="00387B35" w:rsidRPr="00A84443">
        <w:rPr>
          <w:lang w:val="sr-Latn-RS"/>
        </w:rPr>
        <w:t xml:space="preserve">” </w:t>
      </w:r>
      <w:r w:rsidR="00253263" w:rsidRPr="00A84443">
        <w:rPr>
          <w:lang w:val="sr-Latn-RS"/>
        </w:rPr>
        <w:t xml:space="preserve">ili </w:t>
      </w:r>
      <w:r w:rsidR="00387B35" w:rsidRPr="00A84443">
        <w:rPr>
          <w:lang w:val="sr-Latn-RS"/>
        </w:rPr>
        <w:t>grup</w:t>
      </w:r>
      <w:r w:rsidR="00253263" w:rsidRPr="00A84443">
        <w:rPr>
          <w:lang w:val="sr-Latn-RS"/>
        </w:rPr>
        <w:t xml:space="preserve">no postupanje </w:t>
      </w:r>
      <w:r>
        <w:rPr>
          <w:lang w:val="sr-Latn-RS"/>
        </w:rPr>
        <w:t>u</w:t>
      </w:r>
      <w:r w:rsidR="00253263" w:rsidRPr="00A84443">
        <w:rPr>
          <w:lang w:val="sr-Latn-RS"/>
        </w:rPr>
        <w:t xml:space="preserve"> nekim </w:t>
      </w:r>
      <w:r w:rsidR="00A84443" w:rsidRPr="00A84443">
        <w:rPr>
          <w:lang w:val="sr-Latn-RS"/>
        </w:rPr>
        <w:t>kategorijama</w:t>
      </w:r>
      <w:r w:rsidR="00253263" w:rsidRPr="00A84443">
        <w:rPr>
          <w:lang w:val="sr-Latn-RS"/>
        </w:rPr>
        <w:t xml:space="preserve"> predmeta</w:t>
      </w:r>
      <w:r w:rsidR="00387B35" w:rsidRPr="00A84443">
        <w:rPr>
          <w:lang w:val="sr-Latn-RS"/>
        </w:rPr>
        <w:t>,</w:t>
      </w:r>
      <w:r w:rsidR="00752B10">
        <w:rPr>
          <w:lang w:val="sr-Latn-RS"/>
        </w:rPr>
        <w:t xml:space="preserve"> </w:t>
      </w:r>
      <w:r w:rsidR="00253263" w:rsidRPr="00A84443">
        <w:rPr>
          <w:lang w:val="sr-Latn-RS"/>
        </w:rPr>
        <w:t>pre</w:t>
      </w:r>
      <w:r>
        <w:rPr>
          <w:lang w:val="sr-Latn-RS"/>
        </w:rPr>
        <w:t>thodno</w:t>
      </w:r>
      <w:r w:rsidR="00253263" w:rsidRPr="00A84443">
        <w:rPr>
          <w:lang w:val="sr-Latn-RS"/>
        </w:rPr>
        <w:t xml:space="preserve"> </w:t>
      </w:r>
      <w:r>
        <w:rPr>
          <w:lang w:val="sr-Latn-RS"/>
        </w:rPr>
        <w:t>sudsko</w:t>
      </w:r>
      <w:r w:rsidR="00253263" w:rsidRPr="00A84443">
        <w:rPr>
          <w:lang w:val="sr-Latn-RS"/>
        </w:rPr>
        <w:t xml:space="preserve"> o</w:t>
      </w:r>
      <w:r>
        <w:rPr>
          <w:lang w:val="sr-Latn-RS"/>
        </w:rPr>
        <w:t xml:space="preserve">dobrenje </w:t>
      </w:r>
      <w:r w:rsidR="00253263" w:rsidRPr="00A84443">
        <w:rPr>
          <w:lang w:val="sr-Latn-RS"/>
        </w:rPr>
        <w:t>u nekim slučaj</w:t>
      </w:r>
      <w:r>
        <w:rPr>
          <w:lang w:val="sr-Latn-RS"/>
        </w:rPr>
        <w:t>evima</w:t>
      </w:r>
      <w:r w:rsidR="00752B10">
        <w:rPr>
          <w:lang w:val="sr-Latn-RS"/>
        </w:rPr>
        <w:t xml:space="preserve"> mo</w:t>
      </w:r>
      <w:r>
        <w:rPr>
          <w:lang w:val="sr-Latn-RS"/>
        </w:rPr>
        <w:t>že</w:t>
      </w:r>
      <w:r w:rsidR="00752B10">
        <w:rPr>
          <w:lang w:val="sr-Latn-RS"/>
        </w:rPr>
        <w:t xml:space="preserve"> </w:t>
      </w:r>
      <w:r w:rsidR="00253263" w:rsidRPr="00A84443">
        <w:rPr>
          <w:lang w:val="sr-Latn-RS"/>
        </w:rPr>
        <w:t>biti zam</w:t>
      </w:r>
      <w:r w:rsidR="00E54599">
        <w:rPr>
          <w:lang w:val="sr-Latn-RS"/>
        </w:rPr>
        <w:t>ij</w:t>
      </w:r>
      <w:r w:rsidR="00253263" w:rsidRPr="00A84443">
        <w:rPr>
          <w:lang w:val="sr-Latn-RS"/>
        </w:rPr>
        <w:t>enjen</w:t>
      </w:r>
      <w:r w:rsidR="00D17F84">
        <w:rPr>
          <w:lang w:val="sr-Latn-RS"/>
        </w:rPr>
        <w:t>o</w:t>
      </w:r>
      <w:r w:rsidR="00253263" w:rsidRPr="00A84443">
        <w:rPr>
          <w:lang w:val="sr-Latn-RS"/>
        </w:rPr>
        <w:t xml:space="preserve"> </w:t>
      </w:r>
      <w:r w:rsidR="00387B35" w:rsidRPr="00A84443">
        <w:rPr>
          <w:i/>
          <w:lang w:val="sr-Latn-RS"/>
        </w:rPr>
        <w:t xml:space="preserve">ex post </w:t>
      </w:r>
      <w:r w:rsidR="00253263" w:rsidRPr="00A84443">
        <w:rPr>
          <w:lang w:val="sr-Latn-RS"/>
        </w:rPr>
        <w:t>s</w:t>
      </w:r>
      <w:r w:rsidR="00387B35" w:rsidRPr="00A84443">
        <w:rPr>
          <w:lang w:val="sr-Latn-RS"/>
        </w:rPr>
        <w:t>ud</w:t>
      </w:r>
      <w:r w:rsidR="00253263" w:rsidRPr="00A84443">
        <w:rPr>
          <w:lang w:val="sr-Latn-RS"/>
        </w:rPr>
        <w:t>skom revizijom</w:t>
      </w:r>
      <w:r w:rsidR="00387B35" w:rsidRPr="00A84443">
        <w:rPr>
          <w:lang w:val="sr-Latn-RS"/>
        </w:rPr>
        <w:t xml:space="preserve"> (</w:t>
      </w:r>
      <w:r w:rsidR="00253263" w:rsidRPr="00A84443">
        <w:rPr>
          <w:lang w:val="sr-Latn-RS"/>
        </w:rPr>
        <w:t>vid</w:t>
      </w:r>
      <w:r w:rsidR="00E54599">
        <w:rPr>
          <w:lang w:val="sr-Latn-RS"/>
        </w:rPr>
        <w:t>j</w:t>
      </w:r>
      <w:r w:rsidR="00253263" w:rsidRPr="00A84443">
        <w:rPr>
          <w:lang w:val="sr-Latn-RS"/>
        </w:rPr>
        <w:t xml:space="preserve">eti dalji tekst, poglavlje </w:t>
      </w:r>
      <w:r w:rsidR="00387B35" w:rsidRPr="00A84443">
        <w:rPr>
          <w:lang w:val="sr-Latn-RS"/>
        </w:rPr>
        <w:t>3.2).</w:t>
      </w:r>
    </w:p>
    <w:p w14:paraId="40A87669" w14:textId="77777777" w:rsidR="00047EA6" w:rsidRPr="00A84443" w:rsidRDefault="00047EA6">
      <w:pPr>
        <w:pStyle w:val="BodyText"/>
        <w:spacing w:before="10"/>
        <w:rPr>
          <w:sz w:val="21"/>
          <w:lang w:val="sr-Latn-RS"/>
        </w:rPr>
      </w:pPr>
    </w:p>
    <w:p w14:paraId="19D371E3" w14:textId="0D3778E7" w:rsidR="00047EA6" w:rsidRPr="00A84443" w:rsidRDefault="00253263">
      <w:pPr>
        <w:pStyle w:val="BodyText"/>
        <w:ind w:left="117" w:right="420"/>
        <w:jc w:val="both"/>
        <w:rPr>
          <w:lang w:val="sr-Latn-RS"/>
        </w:rPr>
      </w:pPr>
      <w:r w:rsidRPr="00A84443">
        <w:rPr>
          <w:lang w:val="sr-Latn-RS"/>
        </w:rPr>
        <w:t>Tokom trajanja vanredn</w:t>
      </w:r>
      <w:r w:rsidR="00752B10">
        <w:rPr>
          <w:lang w:val="sr-Latn-RS"/>
        </w:rPr>
        <w:t>og stanja</w:t>
      </w:r>
      <w:r w:rsidRPr="00A84443">
        <w:rPr>
          <w:lang w:val="sr-Latn-RS"/>
        </w:rPr>
        <w:t xml:space="preserve">, sprovođenje izbora ili </w:t>
      </w:r>
      <w:r w:rsidR="00387B35" w:rsidRPr="00A84443">
        <w:rPr>
          <w:lang w:val="sr-Latn-RS"/>
        </w:rPr>
        <w:t>referendum</w:t>
      </w:r>
      <w:r w:rsidRPr="00A84443">
        <w:rPr>
          <w:lang w:val="sr-Latn-RS"/>
        </w:rPr>
        <w:t>a</w:t>
      </w:r>
      <w:r w:rsidR="00387B35" w:rsidRPr="00A84443">
        <w:rPr>
          <w:lang w:val="sr-Latn-RS"/>
        </w:rPr>
        <w:t xml:space="preserve"> m</w:t>
      </w:r>
      <w:r w:rsidRPr="00A84443">
        <w:rPr>
          <w:lang w:val="sr-Latn-RS"/>
        </w:rPr>
        <w:t xml:space="preserve">ože da bude </w:t>
      </w:r>
      <w:r w:rsidR="00387B35" w:rsidRPr="00A84443">
        <w:rPr>
          <w:lang w:val="sr-Latn-RS"/>
        </w:rPr>
        <w:t>problemati</w:t>
      </w:r>
      <w:r w:rsidRPr="00A84443">
        <w:rPr>
          <w:lang w:val="sr-Latn-RS"/>
        </w:rPr>
        <w:t>čno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jer je mogućnost sprovođenja kampanj</w:t>
      </w:r>
      <w:r w:rsidR="00E54599">
        <w:rPr>
          <w:lang w:val="sr-Latn-RS"/>
        </w:rPr>
        <w:t>e</w:t>
      </w:r>
      <w:r w:rsidRPr="00A84443">
        <w:rPr>
          <w:lang w:val="sr-Latn-RS"/>
        </w:rPr>
        <w:t xml:space="preserve"> izuzetno ograničena u vr</w:t>
      </w:r>
      <w:r w:rsidR="00E54599">
        <w:rPr>
          <w:lang w:val="sr-Latn-RS"/>
        </w:rPr>
        <w:t>ij</w:t>
      </w:r>
      <w:r w:rsidRPr="00A84443">
        <w:rPr>
          <w:lang w:val="sr-Latn-RS"/>
        </w:rPr>
        <w:t>eme krize</w:t>
      </w:r>
      <w:r w:rsidR="00387B35" w:rsidRPr="00A84443">
        <w:rPr>
          <w:lang w:val="sr-Latn-RS"/>
        </w:rPr>
        <w:t>.</w:t>
      </w:r>
    </w:p>
    <w:p w14:paraId="5FC4DFD7" w14:textId="77777777" w:rsidR="00047EA6" w:rsidRPr="00A84443" w:rsidRDefault="00047EA6">
      <w:pPr>
        <w:pStyle w:val="BodyText"/>
        <w:spacing w:before="6"/>
        <w:rPr>
          <w:sz w:val="24"/>
          <w:lang w:val="sr-Latn-RS"/>
        </w:rPr>
      </w:pPr>
    </w:p>
    <w:p w14:paraId="1ECC14CC" w14:textId="77777777" w:rsidR="00047EA6" w:rsidRPr="00A84443" w:rsidRDefault="00387B35">
      <w:pPr>
        <w:pStyle w:val="Heading2"/>
        <w:numPr>
          <w:ilvl w:val="0"/>
          <w:numId w:val="1"/>
        </w:numPr>
        <w:tabs>
          <w:tab w:val="left" w:pos="839"/>
        </w:tabs>
        <w:ind w:hanging="361"/>
        <w:rPr>
          <w:lang w:val="sr-Latn-RS"/>
        </w:rPr>
      </w:pPr>
      <w:r w:rsidRPr="00A84443">
        <w:rPr>
          <w:lang w:val="sr-Latn-RS"/>
        </w:rPr>
        <w:t>Relevant</w:t>
      </w:r>
      <w:r w:rsidR="00253263" w:rsidRPr="00A84443">
        <w:rPr>
          <w:lang w:val="sr-Latn-RS"/>
        </w:rPr>
        <w:t>ni standardi</w:t>
      </w:r>
      <w:r w:rsidRPr="00A84443">
        <w:rPr>
          <w:lang w:val="sr-Latn-RS"/>
        </w:rPr>
        <w:t xml:space="preserve"> </w:t>
      </w:r>
      <w:r w:rsidR="00253263" w:rsidRPr="00A84443">
        <w:rPr>
          <w:lang w:val="sr-Latn-RS"/>
        </w:rPr>
        <w:t>u oblasti ljudskih prava</w:t>
      </w:r>
    </w:p>
    <w:p w14:paraId="164699D9" w14:textId="77777777" w:rsidR="00047EA6" w:rsidRPr="00A84443" w:rsidRDefault="00047EA6">
      <w:pPr>
        <w:pStyle w:val="BodyText"/>
        <w:spacing w:before="2"/>
        <w:rPr>
          <w:b/>
          <w:sz w:val="25"/>
          <w:lang w:val="sr-Latn-RS"/>
        </w:rPr>
      </w:pPr>
    </w:p>
    <w:p w14:paraId="2D88D51A" w14:textId="2CC11312" w:rsidR="00047EA6" w:rsidRPr="00A84443" w:rsidRDefault="00253263">
      <w:pPr>
        <w:pStyle w:val="Heading3"/>
        <w:numPr>
          <w:ilvl w:val="1"/>
          <w:numId w:val="1"/>
        </w:numPr>
        <w:tabs>
          <w:tab w:val="left" w:pos="1198"/>
        </w:tabs>
        <w:ind w:right="414"/>
        <w:jc w:val="both"/>
        <w:rPr>
          <w:lang w:val="sr-Latn-RS"/>
        </w:rPr>
      </w:pPr>
      <w:r w:rsidRPr="00A84443">
        <w:rPr>
          <w:lang w:val="sr-Latn-RS"/>
        </w:rPr>
        <w:t xml:space="preserve">Pravo na život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2 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cije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>i zabrana mučenja i nečov</w:t>
      </w:r>
      <w:r w:rsidR="00E54599">
        <w:rPr>
          <w:lang w:val="sr-Latn-RS"/>
        </w:rPr>
        <w:t>j</w:t>
      </w:r>
      <w:r w:rsidRPr="00A84443">
        <w:rPr>
          <w:lang w:val="sr-Latn-RS"/>
        </w:rPr>
        <w:t>ečnog ili ponižavajućeg postupanja ili kažnjavanja</w:t>
      </w:r>
      <w:r w:rsidR="00387B35" w:rsidRPr="00A84443">
        <w:rPr>
          <w:spacing w:val="-14"/>
          <w:lang w:val="sr-Latn-RS"/>
        </w:rPr>
        <w:t xml:space="preserve">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3</w:t>
      </w:r>
      <w:r w:rsidR="00387B35" w:rsidRPr="00A84443">
        <w:rPr>
          <w:spacing w:val="-15"/>
          <w:lang w:val="sr-Latn-RS"/>
        </w:rPr>
        <w:t xml:space="preserve"> </w:t>
      </w:r>
      <w:r w:rsidRPr="00A84443">
        <w:rPr>
          <w:spacing w:val="-15"/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cije</w:t>
      </w:r>
      <w:r w:rsidR="00387B35" w:rsidRPr="00A84443">
        <w:rPr>
          <w:lang w:val="sr-Latn-RS"/>
        </w:rPr>
        <w:t>);</w:t>
      </w:r>
      <w:r w:rsidR="00387B35" w:rsidRPr="00A84443">
        <w:rPr>
          <w:spacing w:val="-14"/>
          <w:lang w:val="sr-Latn-RS"/>
        </w:rPr>
        <w:t xml:space="preserve"> </w:t>
      </w:r>
      <w:r w:rsidRPr="00A84443">
        <w:rPr>
          <w:spacing w:val="-14"/>
          <w:lang w:val="sr-Latn-RS"/>
        </w:rPr>
        <w:t xml:space="preserve">pravo pristupa </w:t>
      </w:r>
      <w:r w:rsidR="00A84443" w:rsidRPr="00A84443">
        <w:rPr>
          <w:lang w:val="sr-Latn-RS"/>
        </w:rPr>
        <w:t>zdravstvenoj</w:t>
      </w:r>
      <w:r w:rsidRPr="00A84443">
        <w:rPr>
          <w:lang w:val="sr-Latn-RS"/>
        </w:rPr>
        <w:t xml:space="preserve"> zaštiti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11 </w:t>
      </w:r>
      <w:r w:rsidRPr="00A84443">
        <w:rPr>
          <w:lang w:val="sr-Latn-RS"/>
        </w:rPr>
        <w:t>revid</w:t>
      </w:r>
      <w:r w:rsidR="00E54599">
        <w:rPr>
          <w:lang w:val="sr-Latn-RS"/>
        </w:rPr>
        <w:t>irane</w:t>
      </w:r>
      <w:r w:rsidRPr="00A84443">
        <w:rPr>
          <w:lang w:val="sr-Latn-RS"/>
        </w:rPr>
        <w:t xml:space="preserve"> Evropske socijalne povelje</w:t>
      </w:r>
      <w:r w:rsidR="00387B35" w:rsidRPr="00A84443">
        <w:rPr>
          <w:lang w:val="sr-Latn-RS"/>
        </w:rPr>
        <w:t>)</w:t>
      </w:r>
    </w:p>
    <w:p w14:paraId="756413EB" w14:textId="77777777" w:rsidR="00047EA6" w:rsidRPr="00A84443" w:rsidRDefault="00047EA6">
      <w:pPr>
        <w:pStyle w:val="BodyText"/>
        <w:spacing w:before="4"/>
        <w:rPr>
          <w:b/>
          <w:i/>
          <w:sz w:val="24"/>
          <w:lang w:val="sr-Latn-RS"/>
        </w:rPr>
      </w:pPr>
    </w:p>
    <w:p w14:paraId="1B5D1788" w14:textId="489DB046" w:rsidR="00047EA6" w:rsidRPr="00A84443" w:rsidRDefault="00253263" w:rsidP="00752B10">
      <w:pPr>
        <w:pStyle w:val="BodyText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>Pravo na život i zabrana mučenja i nečov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ečnog i ponižavajućeg postupanja ili kažnjavanja spadaju u </w:t>
      </w:r>
      <w:r w:rsidR="004D576E">
        <w:rPr>
          <w:lang w:val="sr-Latn-RS"/>
        </w:rPr>
        <w:t>ključna</w:t>
      </w:r>
      <w:r w:rsidR="00752B10">
        <w:rPr>
          <w:lang w:val="sr-Latn-RS"/>
        </w:rPr>
        <w:t xml:space="preserve"> </w:t>
      </w:r>
      <w:r w:rsidRPr="00A84443">
        <w:rPr>
          <w:lang w:val="sr-Latn-RS"/>
        </w:rPr>
        <w:t>prava po Konvenciji jer u odnosu na njih nisu dozvoljena nikakva odstupanja, čak ni u vr</w:t>
      </w:r>
      <w:r w:rsidR="00E54599">
        <w:rPr>
          <w:lang w:val="sr-Latn-RS"/>
        </w:rPr>
        <w:t>ij</w:t>
      </w:r>
      <w:r w:rsidRPr="00A84443">
        <w:rPr>
          <w:lang w:val="sr-Latn-RS"/>
        </w:rPr>
        <w:t xml:space="preserve">eme javne opasnosti kakva je </w:t>
      </w:r>
      <w:r w:rsidR="00387B35" w:rsidRPr="00A84443">
        <w:rPr>
          <w:lang w:val="sr-Latn-RS"/>
        </w:rPr>
        <w:t xml:space="preserve">COVID-19. </w:t>
      </w:r>
      <w:r w:rsidR="00752B10">
        <w:rPr>
          <w:lang w:val="sr-Latn-RS"/>
        </w:rPr>
        <w:t>Dosl</w:t>
      </w:r>
      <w:r w:rsidR="00E54599">
        <w:rPr>
          <w:lang w:val="sr-Latn-RS"/>
        </w:rPr>
        <w:t>j</w:t>
      </w:r>
      <w:r w:rsidR="00752B10">
        <w:rPr>
          <w:lang w:val="sr-Latn-RS"/>
        </w:rPr>
        <w:t>edno</w:t>
      </w:r>
      <w:r w:rsidR="009274AB" w:rsidRPr="00A84443">
        <w:rPr>
          <w:lang w:val="sr-Latn-RS"/>
        </w:rPr>
        <w:t xml:space="preserve"> se na njih gleda kao na prava koja zaht</w:t>
      </w:r>
      <w:r w:rsidR="00E54599">
        <w:rPr>
          <w:lang w:val="sr-Latn-RS"/>
        </w:rPr>
        <w:t>j</w:t>
      </w:r>
      <w:r w:rsidR="009274AB" w:rsidRPr="00A84443">
        <w:rPr>
          <w:lang w:val="sr-Latn-RS"/>
        </w:rPr>
        <w:t xml:space="preserve">evaju pozitivnu </w:t>
      </w:r>
      <w:r w:rsidR="00A84443" w:rsidRPr="00A84443">
        <w:rPr>
          <w:lang w:val="sr-Latn-RS"/>
        </w:rPr>
        <w:t>obavezu</w:t>
      </w:r>
      <w:r w:rsidR="009274AB" w:rsidRPr="00A84443">
        <w:rPr>
          <w:lang w:val="sr-Latn-RS"/>
        </w:rPr>
        <w:t xml:space="preserve"> </w:t>
      </w:r>
      <w:r w:rsidR="00752B10">
        <w:rPr>
          <w:lang w:val="sr-Latn-RS"/>
        </w:rPr>
        <w:t xml:space="preserve">pružanja </w:t>
      </w:r>
      <w:r w:rsidR="009274AB" w:rsidRPr="00A84443">
        <w:rPr>
          <w:lang w:val="sr-Latn-RS"/>
        </w:rPr>
        <w:t>z</w:t>
      </w:r>
      <w:r w:rsidR="0033774D">
        <w:rPr>
          <w:lang w:val="sr-Latn-RS"/>
        </w:rPr>
        <w:t xml:space="preserve">aštite </w:t>
      </w:r>
      <w:r w:rsidR="009274AB" w:rsidRPr="00A84443">
        <w:rPr>
          <w:lang w:val="sr-Latn-RS"/>
        </w:rPr>
        <w:t>osob</w:t>
      </w:r>
      <w:r w:rsidR="00752B10">
        <w:rPr>
          <w:lang w:val="sr-Latn-RS"/>
        </w:rPr>
        <w:t>ama</w:t>
      </w:r>
      <w:r w:rsidR="0033774D">
        <w:rPr>
          <w:lang w:val="sr-Latn-RS"/>
        </w:rPr>
        <w:t xml:space="preserve"> </w:t>
      </w:r>
      <w:r w:rsidR="009274AB" w:rsidRPr="00A84443">
        <w:rPr>
          <w:lang w:val="sr-Latn-RS"/>
        </w:rPr>
        <w:t xml:space="preserve">koje </w:t>
      </w:r>
      <w:r w:rsidR="00752B10">
        <w:rPr>
          <w:lang w:val="sr-Latn-RS"/>
        </w:rPr>
        <w:t>se nalaze pod brigom države</w:t>
      </w:r>
      <w:r w:rsidR="0033774D">
        <w:rPr>
          <w:lang w:val="sr-Latn-RS"/>
        </w:rPr>
        <w:t>,</w:t>
      </w:r>
      <w:r w:rsidR="00752B10">
        <w:rPr>
          <w:lang w:val="sr-Latn-RS"/>
        </w:rPr>
        <w:t xml:space="preserve"> </w:t>
      </w:r>
      <w:r w:rsidR="009274AB" w:rsidRPr="00A84443">
        <w:rPr>
          <w:lang w:val="sr-Latn-RS"/>
        </w:rPr>
        <w:t>od smrtonosnih bolesti i njima uzrokovane patnje</w:t>
      </w:r>
      <w:r w:rsidR="0033774D">
        <w:rPr>
          <w:rStyle w:val="FootnoteReference"/>
          <w:lang w:val="sr-Latn-RS"/>
        </w:rPr>
        <w:footnoteReference w:id="16"/>
      </w:r>
      <w:r w:rsidR="00387B35" w:rsidRPr="00A84443">
        <w:rPr>
          <w:lang w:val="sr-Latn-RS"/>
        </w:rPr>
        <w:t>.</w:t>
      </w:r>
    </w:p>
    <w:p w14:paraId="5D5C8B4E" w14:textId="77777777" w:rsidR="00047EA6" w:rsidRPr="00A84443" w:rsidRDefault="00047EA6">
      <w:pPr>
        <w:pStyle w:val="BodyText"/>
        <w:spacing w:before="3"/>
        <w:rPr>
          <w:sz w:val="24"/>
          <w:lang w:val="sr-Latn-RS"/>
        </w:rPr>
      </w:pPr>
    </w:p>
    <w:p w14:paraId="42591371" w14:textId="68944523" w:rsidR="00047EA6" w:rsidRPr="00A84443" w:rsidRDefault="009274AB">
      <w:pPr>
        <w:pStyle w:val="BodyText"/>
        <w:spacing w:before="1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cija kontinuirano zaht</w:t>
      </w:r>
      <w:r w:rsidR="00E54599">
        <w:rPr>
          <w:lang w:val="sr-Latn-RS"/>
        </w:rPr>
        <w:t>j</w:t>
      </w:r>
      <w:r w:rsidRPr="00A84443">
        <w:rPr>
          <w:lang w:val="sr-Latn-RS"/>
        </w:rPr>
        <w:t>eva od svih država članica da obezb</w:t>
      </w:r>
      <w:r w:rsidR="00E54599">
        <w:rPr>
          <w:lang w:val="sr-Latn-RS"/>
        </w:rPr>
        <w:t>ij</w:t>
      </w:r>
      <w:r w:rsidRPr="00A84443">
        <w:rPr>
          <w:lang w:val="sr-Latn-RS"/>
        </w:rPr>
        <w:t>ede odgovarajući nivo zdravstvene zaštite za lica lišena slobode</w:t>
      </w:r>
      <w:r w:rsidR="0033774D">
        <w:rPr>
          <w:rStyle w:val="FootnoteReference"/>
          <w:lang w:val="sr-Latn-RS"/>
        </w:rPr>
        <w:footnoteReference w:id="17"/>
      </w:r>
      <w:r w:rsidR="00387B35" w:rsidRPr="00A84443">
        <w:rPr>
          <w:lang w:val="sr-Latn-RS"/>
        </w:rPr>
        <w:t>. E</w:t>
      </w:r>
      <w:r w:rsidRPr="00A84443">
        <w:rPr>
          <w:lang w:val="sr-Latn-RS"/>
        </w:rPr>
        <w:t>v</w:t>
      </w:r>
      <w:r w:rsidR="00387B35" w:rsidRPr="00A84443">
        <w:rPr>
          <w:lang w:val="sr-Latn-RS"/>
        </w:rPr>
        <w:t>rop</w:t>
      </w:r>
      <w:r w:rsidRPr="00A84443">
        <w:rPr>
          <w:lang w:val="sr-Latn-RS"/>
        </w:rPr>
        <w:t>ski komitet za spr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ečavanje mučenja </w:t>
      </w:r>
      <w:r w:rsidR="00387B35" w:rsidRPr="00A84443">
        <w:rPr>
          <w:lang w:val="sr-Latn-RS"/>
        </w:rPr>
        <w:t xml:space="preserve">(CPT) </w:t>
      </w:r>
      <w:r w:rsidRPr="00A84443">
        <w:rPr>
          <w:lang w:val="sr-Latn-RS"/>
        </w:rPr>
        <w:t xml:space="preserve">objavio je </w:t>
      </w:r>
      <w:hyperlink r:id="rId11" w:history="1">
        <w:r w:rsidRPr="00F52B63">
          <w:rPr>
            <w:rStyle w:val="Hyperlink"/>
            <w:lang w:val="sr-Latn-RS"/>
          </w:rPr>
          <w:t>Izjavu o</w:t>
        </w:r>
        <w:r w:rsidR="00F52B63" w:rsidRPr="00F52B63">
          <w:rPr>
            <w:rStyle w:val="Hyperlink"/>
            <w:lang w:val="sr-Latn-RS"/>
          </w:rPr>
          <w:t xml:space="preserve"> princiipima vezanim za tretman lica lišenih slobode</w:t>
        </w:r>
        <w:r w:rsidRPr="00F52B63">
          <w:rPr>
            <w:rStyle w:val="Hyperlink"/>
            <w:lang w:val="sr-Latn-RS"/>
          </w:rPr>
          <w:t xml:space="preserve"> u kontekstu pandemije</w:t>
        </w:r>
        <w:r w:rsidR="00F52B63" w:rsidRPr="00F52B63">
          <w:rPr>
            <w:rStyle w:val="Hyperlink"/>
            <w:lang w:val="sr-Latn-RS"/>
          </w:rPr>
          <w:t xml:space="preserve"> zaraze korona virusom</w:t>
        </w:r>
        <w:r w:rsidRPr="00F52B63">
          <w:rPr>
            <w:rStyle w:val="Hyperlink"/>
            <w:lang w:val="sr-Latn-RS"/>
          </w:rPr>
          <w:t xml:space="preserve"> COVID-19</w:t>
        </w:r>
      </w:hyperlink>
      <w:r w:rsidRPr="00A84443">
        <w:rPr>
          <w:color w:val="315397"/>
          <w:lang w:val="sr-Latn-RS"/>
        </w:rPr>
        <w:t xml:space="preserve">. </w:t>
      </w:r>
      <w:r w:rsidR="00387B35" w:rsidRPr="00A84443">
        <w:rPr>
          <w:lang w:val="sr-Latn-RS"/>
        </w:rPr>
        <w:t>T</w:t>
      </w:r>
      <w:r w:rsidRPr="00A84443">
        <w:rPr>
          <w:lang w:val="sr-Latn-RS"/>
        </w:rPr>
        <w:t>a načela se odnose na različita m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esta, uključujući </w:t>
      </w:r>
      <w:r w:rsidR="00F52B63">
        <w:rPr>
          <w:lang w:val="sr-Latn-RS"/>
        </w:rPr>
        <w:t xml:space="preserve">prostorije za policijsko zadržavanje, kazneno-popravne </w:t>
      </w:r>
      <w:r w:rsidRPr="00A84443">
        <w:rPr>
          <w:lang w:val="sr-Latn-RS"/>
        </w:rPr>
        <w:t>ustanove</w:t>
      </w:r>
      <w:r w:rsidRPr="00A84443">
        <w:rPr>
          <w:spacing w:val="-15"/>
          <w:lang w:val="sr-Latn-RS"/>
        </w:rPr>
        <w:t xml:space="preserve">, </w:t>
      </w:r>
      <w:r w:rsidR="00F52B63">
        <w:rPr>
          <w:lang w:val="sr-Latn-RS"/>
        </w:rPr>
        <w:t xml:space="preserve">centre za imigracioni pritvor, </w:t>
      </w:r>
      <w:r w:rsidRPr="00A84443">
        <w:rPr>
          <w:lang w:val="sr-Latn-RS"/>
        </w:rPr>
        <w:t>psi</w:t>
      </w:r>
      <w:r w:rsidR="00387B35" w:rsidRPr="00A84443">
        <w:rPr>
          <w:lang w:val="sr-Latn-RS"/>
        </w:rPr>
        <w:t>hi</w:t>
      </w:r>
      <w:r w:rsidRPr="00A84443">
        <w:rPr>
          <w:lang w:val="sr-Latn-RS"/>
        </w:rPr>
        <w:t>j</w:t>
      </w:r>
      <w:r w:rsidR="00387B35" w:rsidRPr="00A84443">
        <w:rPr>
          <w:lang w:val="sr-Latn-RS"/>
        </w:rPr>
        <w:t>atri</w:t>
      </w:r>
      <w:r w:rsidRPr="00A84443">
        <w:rPr>
          <w:lang w:val="sr-Latn-RS"/>
        </w:rPr>
        <w:t xml:space="preserve">jske bolnice i </w:t>
      </w:r>
      <w:r w:rsidR="00F37EB2">
        <w:rPr>
          <w:lang w:val="sr-Latn-RS"/>
        </w:rPr>
        <w:t>domove socijalnog zbrinjavanja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kao i različite novouspostavljene objekte ili zone u koje se lica sm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eštaju u karantin u kontekstu pandemije </w:t>
      </w:r>
      <w:r w:rsidR="00387B35" w:rsidRPr="00A84443">
        <w:rPr>
          <w:lang w:val="sr-Latn-RS"/>
        </w:rPr>
        <w:t xml:space="preserve">COVID-19. </w:t>
      </w:r>
      <w:r w:rsidRPr="00A84443">
        <w:rPr>
          <w:lang w:val="sr-Latn-RS"/>
        </w:rPr>
        <w:t xml:space="preserve">Načela </w:t>
      </w:r>
      <w:r w:rsidR="00387B35" w:rsidRPr="00A84443">
        <w:rPr>
          <w:lang w:val="sr-Latn-RS"/>
        </w:rPr>
        <w:t>CPT</w:t>
      </w:r>
      <w:r w:rsidRPr="00A84443">
        <w:rPr>
          <w:lang w:val="sr-Latn-RS"/>
        </w:rPr>
        <w:t>-a takođe pominju potrebu da se zaštiti osoblje koje radi u ovim ustanovama i da se obezb</w:t>
      </w:r>
      <w:r w:rsidR="00E54599">
        <w:rPr>
          <w:lang w:val="sr-Latn-RS"/>
        </w:rPr>
        <w:t>ij</w:t>
      </w:r>
      <w:r w:rsidRPr="00A84443">
        <w:rPr>
          <w:lang w:val="sr-Latn-RS"/>
        </w:rPr>
        <w:t xml:space="preserve">edi kontinuiran pristup </w:t>
      </w:r>
      <w:r w:rsidR="00285C66" w:rsidRPr="00A84443">
        <w:rPr>
          <w:lang w:val="sr-Latn-RS"/>
        </w:rPr>
        <w:t>za</w:t>
      </w:r>
      <w:r w:rsidR="00387B35" w:rsidRPr="00A84443">
        <w:rPr>
          <w:spacing w:val="-8"/>
          <w:lang w:val="sr-Latn-RS"/>
        </w:rPr>
        <w:t xml:space="preserve"> </w:t>
      </w:r>
      <w:r w:rsidR="00387B35" w:rsidRPr="00A84443">
        <w:rPr>
          <w:lang w:val="sr-Latn-RS"/>
        </w:rPr>
        <w:t>na</w:t>
      </w:r>
      <w:r w:rsidR="00285C66" w:rsidRPr="00A84443">
        <w:rPr>
          <w:lang w:val="sr-Latn-RS"/>
        </w:rPr>
        <w:t>c</w:t>
      </w:r>
      <w:r w:rsidR="00387B35" w:rsidRPr="00A84443">
        <w:rPr>
          <w:lang w:val="sr-Latn-RS"/>
        </w:rPr>
        <w:t>ional</w:t>
      </w:r>
      <w:r w:rsidR="00285C66" w:rsidRPr="00A84443">
        <w:rPr>
          <w:lang w:val="sr-Latn-RS"/>
        </w:rPr>
        <w:t>na nezavisna nadzorna t</w:t>
      </w:r>
      <w:r w:rsidR="00E54599">
        <w:rPr>
          <w:lang w:val="sr-Latn-RS"/>
        </w:rPr>
        <w:t>ij</w:t>
      </w:r>
      <w:r w:rsidR="00285C66" w:rsidRPr="00A84443">
        <w:rPr>
          <w:lang w:val="sr-Latn-RS"/>
        </w:rPr>
        <w:t>ela objektima zadržavanja</w:t>
      </w:r>
      <w:r w:rsidR="00387B35" w:rsidRPr="00A84443">
        <w:rPr>
          <w:lang w:val="sr-Latn-RS"/>
        </w:rPr>
        <w:t xml:space="preserve">. </w:t>
      </w:r>
      <w:r w:rsidR="00285C66" w:rsidRPr="00A84443">
        <w:rPr>
          <w:lang w:val="sr-Latn-RS"/>
        </w:rPr>
        <w:t>Komesar</w:t>
      </w:r>
      <w:r w:rsidR="00F52B63">
        <w:rPr>
          <w:lang w:val="sr-Latn-RS"/>
        </w:rPr>
        <w:t>ka</w:t>
      </w:r>
      <w:r w:rsidR="00285C66" w:rsidRPr="00A84443">
        <w:rPr>
          <w:lang w:val="sr-Latn-RS"/>
        </w:rPr>
        <w:t xml:space="preserve"> za ljudska prava je takođe objavi</w:t>
      </w:r>
      <w:r w:rsidR="00F52B63">
        <w:rPr>
          <w:lang w:val="sr-Latn-RS"/>
        </w:rPr>
        <w:t>la</w:t>
      </w:r>
      <w:r w:rsidR="00285C66" w:rsidRPr="00A84443">
        <w:rPr>
          <w:lang w:val="sr-Latn-RS"/>
        </w:rPr>
        <w:t xml:space="preserve"> </w:t>
      </w:r>
      <w:hyperlink r:id="rId12">
        <w:r w:rsidR="00285C66" w:rsidRPr="00A84443">
          <w:rPr>
            <w:color w:val="315397"/>
            <w:lang w:val="sr-Latn-RS"/>
          </w:rPr>
          <w:t>Izjavu</w:t>
        </w:r>
      </w:hyperlink>
      <w:r w:rsidR="00387B35" w:rsidRPr="00A84443">
        <w:rPr>
          <w:lang w:val="sr-Latn-RS"/>
        </w:rPr>
        <w:t xml:space="preserve">: </w:t>
      </w:r>
      <w:r w:rsidR="00285C66" w:rsidRPr="00A84443">
        <w:rPr>
          <w:lang w:val="sr-Latn-RS"/>
        </w:rPr>
        <w:t xml:space="preserve">Pandemija </w:t>
      </w:r>
      <w:r w:rsidR="00387B35" w:rsidRPr="00A84443">
        <w:rPr>
          <w:lang w:val="sr-Latn-RS"/>
        </w:rPr>
        <w:t xml:space="preserve">COVID-19: </w:t>
      </w:r>
      <w:r w:rsidR="00285C66" w:rsidRPr="00A84443">
        <w:rPr>
          <w:lang w:val="sr-Latn-RS"/>
        </w:rPr>
        <w:t>potrebni su hitni koraci za zaštitu prava lica na izdržavanju zatvorske kazne u Evropi</w:t>
      </w:r>
      <w:r w:rsidR="00387B35" w:rsidRPr="00A84443">
        <w:rPr>
          <w:lang w:val="sr-Latn-RS"/>
        </w:rPr>
        <w:t>.</w:t>
      </w:r>
    </w:p>
    <w:p w14:paraId="6E4BA34D" w14:textId="77777777" w:rsidR="00047EA6" w:rsidRPr="00A84443" w:rsidRDefault="00047EA6">
      <w:pPr>
        <w:pStyle w:val="BodyText"/>
        <w:spacing w:before="10"/>
        <w:rPr>
          <w:sz w:val="23"/>
          <w:lang w:val="sr-Latn-RS"/>
        </w:rPr>
      </w:pPr>
    </w:p>
    <w:p w14:paraId="66C4A53A" w14:textId="5D8E8A9C" w:rsidR="00047EA6" w:rsidRPr="00A84443" w:rsidRDefault="00BF57C3">
      <w:pPr>
        <w:pStyle w:val="BodyText"/>
        <w:ind w:left="117" w:right="414"/>
        <w:jc w:val="both"/>
        <w:rPr>
          <w:lang w:val="sr-Latn-RS"/>
        </w:rPr>
      </w:pPr>
      <w:r w:rsidRPr="00A84443">
        <w:rPr>
          <w:lang w:val="sr-Latn-RS"/>
        </w:rPr>
        <w:t xml:space="preserve">Osim </w:t>
      </w:r>
      <w:r w:rsidR="0070370F" w:rsidRPr="00A84443">
        <w:rPr>
          <w:lang w:val="sr-Latn-RS"/>
        </w:rPr>
        <w:t xml:space="preserve">u slučaju </w:t>
      </w:r>
      <w:r w:rsidRPr="00A84443">
        <w:rPr>
          <w:lang w:val="sr-Latn-RS"/>
        </w:rPr>
        <w:t xml:space="preserve">lica koji su </w:t>
      </w:r>
      <w:r w:rsidR="0070370F" w:rsidRPr="00A84443">
        <w:rPr>
          <w:lang w:val="sr-Latn-RS"/>
        </w:rPr>
        <w:t>sm</w:t>
      </w:r>
      <w:r w:rsidR="00E54599">
        <w:rPr>
          <w:lang w:val="sr-Latn-RS"/>
        </w:rPr>
        <w:t>j</w:t>
      </w:r>
      <w:r w:rsidR="0070370F" w:rsidRPr="00A84443">
        <w:rPr>
          <w:lang w:val="sr-Latn-RS"/>
        </w:rPr>
        <w:t>eštena u državne ustanove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 xml:space="preserve">pozivanje na obaveze po Članu </w:t>
      </w:r>
      <w:r w:rsidR="00387B35" w:rsidRPr="00A84443">
        <w:rPr>
          <w:lang w:val="sr-Latn-RS"/>
        </w:rPr>
        <w:t xml:space="preserve">2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3 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cije moguće je i u odnosu na ozbiljno bolesna lica, osobe sa invaliditetom ili starija lica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>videti</w:t>
      </w:r>
      <w:r w:rsidR="00387B35" w:rsidRPr="00A84443">
        <w:rPr>
          <w:lang w:val="sr-Latn-RS"/>
        </w:rPr>
        <w:t xml:space="preserve"> </w:t>
      </w:r>
      <w:hyperlink r:id="rId13">
        <w:r w:rsidRPr="00A84443">
          <w:rPr>
            <w:color w:val="315397"/>
            <w:lang w:val="sr-Latn-RS"/>
          </w:rPr>
          <w:t xml:space="preserve">Preporuku </w:t>
        </w:r>
        <w:r w:rsidR="00DB0C5E">
          <w:rPr>
            <w:color w:val="315397"/>
            <w:lang w:val="sr-Latn-RS"/>
          </w:rPr>
          <w:t xml:space="preserve">Komiteta ministara </w:t>
        </w:r>
        <w:r w:rsidR="00387B35" w:rsidRPr="00A84443">
          <w:rPr>
            <w:color w:val="315397"/>
            <w:lang w:val="sr-Latn-RS"/>
          </w:rPr>
          <w:t>(2014)2</w:t>
        </w:r>
      </w:hyperlink>
      <w:r w:rsidR="00387B35" w:rsidRPr="00A84443">
        <w:rPr>
          <w:color w:val="315397"/>
          <w:lang w:val="sr-Latn-RS"/>
        </w:rPr>
        <w:t xml:space="preserve"> </w:t>
      </w:r>
      <w:r w:rsidR="00387B35" w:rsidRPr="00A84443">
        <w:rPr>
          <w:lang w:val="sr-Latn-RS"/>
        </w:rPr>
        <w:t>o</w:t>
      </w:r>
      <w:r w:rsidRPr="00A84443">
        <w:rPr>
          <w:lang w:val="sr-Latn-RS"/>
        </w:rPr>
        <w:t xml:space="preserve"> unapređenju ljudskih prava starijih lica i Izjave Komesar</w:t>
      </w:r>
      <w:r w:rsidR="00F37EB2">
        <w:rPr>
          <w:lang w:val="sr-Latn-RS"/>
        </w:rPr>
        <w:t>ke</w:t>
      </w:r>
      <w:r w:rsidRPr="00A84443">
        <w:rPr>
          <w:lang w:val="sr-Latn-RS"/>
        </w:rPr>
        <w:t xml:space="preserve"> za ljudska prava o osobama sa </w:t>
      </w:r>
      <w:r w:rsidRPr="00A84443">
        <w:rPr>
          <w:lang w:val="sr-Latn-RS"/>
        </w:rPr>
        <w:lastRenderedPageBreak/>
        <w:t xml:space="preserve">invaliditetom i starijim licima tokom pandemije </w:t>
      </w:r>
      <w:r w:rsidR="00387B35" w:rsidRPr="00A84443">
        <w:rPr>
          <w:lang w:val="sr-Latn-RS"/>
        </w:rPr>
        <w:t>COVID-19</w:t>
      </w:r>
      <w:r w:rsidR="00DB0C5E">
        <w:rPr>
          <w:rStyle w:val="FootnoteReference"/>
          <w:lang w:val="sr-Latn-RS"/>
        </w:rPr>
        <w:footnoteReference w:id="18"/>
      </w:r>
      <w:r w:rsidR="00387B35" w:rsidRPr="00A84443">
        <w:rPr>
          <w:lang w:val="sr-Latn-RS"/>
        </w:rPr>
        <w:t xml:space="preserve">). </w:t>
      </w:r>
      <w:r w:rsidR="00B64517" w:rsidRPr="00A84443">
        <w:rPr>
          <w:lang w:val="sr-Latn-RS"/>
        </w:rPr>
        <w:t xml:space="preserve">Moguće je da se desi da su njihovo izlaganje bolesti i izuzetan nivo patnje nekompatibilni sa pozitivnim obavezama država da </w:t>
      </w:r>
      <w:r w:rsidR="00E54599">
        <w:rPr>
          <w:lang w:val="sr-Latn-RS"/>
        </w:rPr>
        <w:t xml:space="preserve">se </w:t>
      </w:r>
      <w:r w:rsidR="00B64517" w:rsidRPr="00A84443">
        <w:rPr>
          <w:lang w:val="sr-Latn-RS"/>
        </w:rPr>
        <w:t>zaštiti život i spr</w:t>
      </w:r>
      <w:r w:rsidR="00E54599">
        <w:rPr>
          <w:lang w:val="sr-Latn-RS"/>
        </w:rPr>
        <w:t>ij</w:t>
      </w:r>
      <w:r w:rsidR="00B64517" w:rsidRPr="00A84443">
        <w:rPr>
          <w:lang w:val="sr-Latn-RS"/>
        </w:rPr>
        <w:t>eči neprim</w:t>
      </w:r>
      <w:r w:rsidR="00E54599">
        <w:rPr>
          <w:lang w:val="sr-Latn-RS"/>
        </w:rPr>
        <w:t>j</w:t>
      </w:r>
      <w:r w:rsidR="00B64517" w:rsidRPr="00A84443">
        <w:rPr>
          <w:lang w:val="sr-Latn-RS"/>
        </w:rPr>
        <w:t>ereno postupanje</w:t>
      </w:r>
      <w:r w:rsidR="00387B35" w:rsidRPr="00A84443">
        <w:rPr>
          <w:lang w:val="sr-Latn-RS"/>
        </w:rPr>
        <w:t xml:space="preserve">. </w:t>
      </w:r>
      <w:r w:rsidR="00B64517" w:rsidRPr="00A84443">
        <w:rPr>
          <w:lang w:val="sr-Latn-RS"/>
        </w:rPr>
        <w:t xml:space="preserve">Ova pozitivna obaveza dalje je potvrđena u Članu </w:t>
      </w:r>
      <w:r w:rsidR="00387B35" w:rsidRPr="00A84443">
        <w:rPr>
          <w:lang w:val="sr-Latn-RS"/>
        </w:rPr>
        <w:t>11 E</w:t>
      </w:r>
      <w:r w:rsidR="00B64517" w:rsidRPr="00A84443">
        <w:rPr>
          <w:lang w:val="sr-Latn-RS"/>
        </w:rPr>
        <w:t>v</w:t>
      </w:r>
      <w:r w:rsidR="00387B35" w:rsidRPr="00A84443">
        <w:rPr>
          <w:lang w:val="sr-Latn-RS"/>
        </w:rPr>
        <w:t>rop</w:t>
      </w:r>
      <w:r w:rsidR="00B64517" w:rsidRPr="00A84443">
        <w:rPr>
          <w:lang w:val="sr-Latn-RS"/>
        </w:rPr>
        <w:t xml:space="preserve">ske socijalne povelje </w:t>
      </w:r>
      <w:r w:rsidR="00387B35" w:rsidRPr="00A84443">
        <w:rPr>
          <w:lang w:val="sr-Latn-RS"/>
        </w:rPr>
        <w:t>(revi</w:t>
      </w:r>
      <w:r w:rsidR="00B64517" w:rsidRPr="00A84443">
        <w:rPr>
          <w:lang w:val="sr-Latn-RS"/>
        </w:rPr>
        <w:t>d</w:t>
      </w:r>
      <w:r w:rsidR="00DB0C5E">
        <w:rPr>
          <w:lang w:val="sr-Latn-RS"/>
        </w:rPr>
        <w:t>irane</w:t>
      </w:r>
      <w:r w:rsidR="00387B35" w:rsidRPr="00A84443">
        <w:rPr>
          <w:lang w:val="sr-Latn-RS"/>
        </w:rPr>
        <w:t xml:space="preserve">) </w:t>
      </w:r>
      <w:r w:rsidR="00B64517" w:rsidRPr="00A84443">
        <w:rPr>
          <w:lang w:val="sr-Latn-RS"/>
        </w:rPr>
        <w:t>prema ko</w:t>
      </w:r>
      <w:r w:rsidR="0070370F" w:rsidRPr="00A84443">
        <w:rPr>
          <w:lang w:val="sr-Latn-RS"/>
        </w:rPr>
        <w:t xml:space="preserve">m su </w:t>
      </w:r>
      <w:r w:rsidR="00B64517" w:rsidRPr="00A84443">
        <w:rPr>
          <w:lang w:val="sr-Latn-RS"/>
        </w:rPr>
        <w:t xml:space="preserve">strane ugovornice </w:t>
      </w:r>
      <w:r w:rsidR="0070370F" w:rsidRPr="00A84443">
        <w:rPr>
          <w:lang w:val="sr-Latn-RS"/>
        </w:rPr>
        <w:t xml:space="preserve">obavezne </w:t>
      </w:r>
      <w:r w:rsidR="00B64517" w:rsidRPr="00A84443">
        <w:rPr>
          <w:lang w:val="sr-Latn-RS"/>
        </w:rPr>
        <w:t>da pokažu svoju sposobnost da se nose sa zaraznim bolestima</w:t>
      </w:r>
      <w:r w:rsidR="00387B35" w:rsidRPr="00A84443">
        <w:rPr>
          <w:lang w:val="sr-Latn-RS"/>
        </w:rPr>
        <w:t xml:space="preserve">, </w:t>
      </w:r>
      <w:r w:rsidR="008E5BD6">
        <w:rPr>
          <w:lang w:val="sr-Latn-RS"/>
        </w:rPr>
        <w:t>kroz</w:t>
      </w:r>
      <w:r w:rsidR="00B64517" w:rsidRPr="00A84443">
        <w:rPr>
          <w:lang w:val="sr-Latn-RS"/>
        </w:rPr>
        <w:t xml:space="preserve"> </w:t>
      </w:r>
      <w:r w:rsidR="008E5BD6">
        <w:rPr>
          <w:lang w:val="sr-Latn-RS"/>
        </w:rPr>
        <w:t xml:space="preserve">načine </w:t>
      </w:r>
      <w:r w:rsidR="00B64517" w:rsidRPr="00A84443">
        <w:rPr>
          <w:lang w:val="sr-Latn-RS"/>
        </w:rPr>
        <w:t>za izv</w:t>
      </w:r>
      <w:r w:rsidR="00E54599">
        <w:rPr>
          <w:lang w:val="sr-Latn-RS"/>
        </w:rPr>
        <w:t>j</w:t>
      </w:r>
      <w:r w:rsidR="00B64517" w:rsidRPr="00A84443">
        <w:rPr>
          <w:lang w:val="sr-Latn-RS"/>
        </w:rPr>
        <w:t xml:space="preserve">eštavanje i </w:t>
      </w:r>
      <w:r w:rsidR="00A84443" w:rsidRPr="00A84443">
        <w:rPr>
          <w:lang w:val="sr-Latn-RS"/>
        </w:rPr>
        <w:t>obav</w:t>
      </w:r>
      <w:r w:rsidR="00E54599">
        <w:rPr>
          <w:lang w:val="sr-Latn-RS"/>
        </w:rPr>
        <w:t>j</w:t>
      </w:r>
      <w:r w:rsidR="00A84443" w:rsidRPr="00A84443">
        <w:rPr>
          <w:lang w:val="sr-Latn-RS"/>
        </w:rPr>
        <w:t>eštavanje</w:t>
      </w:r>
      <w:r w:rsidR="00B64517" w:rsidRPr="00A84443">
        <w:rPr>
          <w:lang w:val="sr-Latn-RS"/>
        </w:rPr>
        <w:t xml:space="preserve"> o bolestima i putem preduzimanja svih neophodnih vanrednih m</w:t>
      </w:r>
      <w:r w:rsidR="00E54599">
        <w:rPr>
          <w:lang w:val="sr-Latn-RS"/>
        </w:rPr>
        <w:t>j</w:t>
      </w:r>
      <w:r w:rsidR="00B64517" w:rsidRPr="00A84443">
        <w:rPr>
          <w:lang w:val="sr-Latn-RS"/>
        </w:rPr>
        <w:t>era u slučaju epidemija</w:t>
      </w:r>
      <w:r w:rsidR="00387B35" w:rsidRPr="00A84443">
        <w:rPr>
          <w:lang w:val="sr-Latn-RS"/>
        </w:rPr>
        <w:t>.</w:t>
      </w:r>
      <w:r w:rsidR="00DB0C5E">
        <w:rPr>
          <w:rStyle w:val="FootnoteReference"/>
          <w:lang w:val="sr-Latn-RS"/>
        </w:rPr>
        <w:footnoteReference w:id="19"/>
      </w:r>
      <w:r w:rsidR="00387B35" w:rsidRPr="00A84443">
        <w:rPr>
          <w:spacing w:val="15"/>
          <w:position w:val="8"/>
          <w:sz w:val="14"/>
          <w:lang w:val="sr-Latn-RS"/>
        </w:rPr>
        <w:t xml:space="preserve"> </w:t>
      </w:r>
      <w:r w:rsidR="00B64517" w:rsidRPr="00A84443">
        <w:rPr>
          <w:lang w:val="sr-Latn-RS"/>
        </w:rPr>
        <w:t>Povećano obraćanje pažnje države</w:t>
      </w:r>
      <w:r w:rsidR="008E5BD6">
        <w:rPr>
          <w:lang w:val="sr-Latn-RS"/>
        </w:rPr>
        <w:t xml:space="preserve"> na</w:t>
      </w:r>
      <w:r w:rsidR="00B64517" w:rsidRPr="00A84443">
        <w:rPr>
          <w:lang w:val="sr-Latn-RS"/>
        </w:rPr>
        <w:t xml:space="preserve"> </w:t>
      </w:r>
      <w:r w:rsidR="00061478">
        <w:rPr>
          <w:lang w:val="sr-Latn-RS"/>
        </w:rPr>
        <w:t>ranjive</w:t>
      </w:r>
      <w:r w:rsidR="00B64517" w:rsidRPr="00A84443">
        <w:rPr>
          <w:lang w:val="sr-Latn-RS"/>
        </w:rPr>
        <w:t xml:space="preserve"> grup</w:t>
      </w:r>
      <w:r w:rsidR="0070370F" w:rsidRPr="00A84443">
        <w:rPr>
          <w:lang w:val="sr-Latn-RS"/>
        </w:rPr>
        <w:t>e</w:t>
      </w:r>
      <w:r w:rsidR="00B64517" w:rsidRPr="00A84443">
        <w:rPr>
          <w:lang w:val="sr-Latn-RS"/>
        </w:rPr>
        <w:t xml:space="preserve"> bilo bi u skladu sa pravom osoba na prav</w:t>
      </w:r>
      <w:r w:rsidR="008E5BD6">
        <w:rPr>
          <w:lang w:val="sr-Latn-RS"/>
        </w:rPr>
        <w:t>ičan</w:t>
      </w:r>
      <w:r w:rsidR="00B64517" w:rsidRPr="00A84443">
        <w:rPr>
          <w:lang w:val="sr-Latn-RS"/>
        </w:rPr>
        <w:t xml:space="preserve"> pristup zdr</w:t>
      </w:r>
      <w:r w:rsidR="0070370F" w:rsidRPr="00A84443">
        <w:rPr>
          <w:lang w:val="sr-Latn-RS"/>
        </w:rPr>
        <w:t>a</w:t>
      </w:r>
      <w:r w:rsidR="00B64517" w:rsidRPr="00A84443">
        <w:rPr>
          <w:lang w:val="sr-Latn-RS"/>
        </w:rPr>
        <w:t>vstvenoj zaštiti</w:t>
      </w:r>
      <w:r w:rsidR="00387B35" w:rsidRPr="00A84443">
        <w:rPr>
          <w:lang w:val="sr-Latn-RS"/>
        </w:rPr>
        <w:t xml:space="preserve"> (</w:t>
      </w:r>
      <w:r w:rsidR="00B64517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3 </w:t>
      </w:r>
      <w:hyperlink r:id="rId14">
        <w:r w:rsidR="00B64517" w:rsidRPr="00A84443">
          <w:rPr>
            <w:color w:val="315397"/>
            <w:lang w:val="sr-Latn-RS"/>
          </w:rPr>
          <w:t>K</w:t>
        </w:r>
        <w:r w:rsidR="00387B35" w:rsidRPr="00A84443">
          <w:rPr>
            <w:color w:val="315397"/>
            <w:lang w:val="sr-Latn-RS"/>
          </w:rPr>
          <w:t>onven</w:t>
        </w:r>
        <w:r w:rsidR="00B64517" w:rsidRPr="00A84443">
          <w:rPr>
            <w:color w:val="315397"/>
            <w:lang w:val="sr-Latn-RS"/>
          </w:rPr>
          <w:t>cije o ljudskim pravima i b</w:t>
        </w:r>
      </w:hyperlink>
      <w:r w:rsidR="00B64517" w:rsidRPr="00A84443">
        <w:rPr>
          <w:color w:val="315397"/>
          <w:lang w:val="sr-Latn-RS"/>
        </w:rPr>
        <w:t xml:space="preserve">iomedicini, </w:t>
      </w:r>
      <w:r w:rsidR="00387B35" w:rsidRPr="00A84443">
        <w:rPr>
          <w:lang w:val="sr-Latn-RS"/>
        </w:rPr>
        <w:t>“</w:t>
      </w:r>
      <w:r w:rsidR="00BC2FA8">
        <w:rPr>
          <w:lang w:val="sr-Latn-RS"/>
        </w:rPr>
        <w:t>Oviedo konvencija</w:t>
      </w:r>
      <w:r w:rsidR="00387B35" w:rsidRPr="00A84443">
        <w:rPr>
          <w:lang w:val="sr-Latn-RS"/>
        </w:rPr>
        <w:t>”).</w:t>
      </w:r>
    </w:p>
    <w:p w14:paraId="21037D69" w14:textId="77777777" w:rsidR="00047EA6" w:rsidRPr="00A84443" w:rsidRDefault="00047EA6">
      <w:pPr>
        <w:pStyle w:val="BodyText"/>
        <w:spacing w:before="7"/>
        <w:rPr>
          <w:sz w:val="23"/>
          <w:lang w:val="sr-Latn-RS"/>
        </w:rPr>
      </w:pPr>
    </w:p>
    <w:p w14:paraId="1DEEE8BB" w14:textId="74742A2A" w:rsidR="00047EA6" w:rsidRPr="00A84443" w:rsidRDefault="00D22E63">
      <w:pPr>
        <w:pStyle w:val="BodyText"/>
        <w:ind w:left="117" w:right="415"/>
        <w:jc w:val="both"/>
        <w:rPr>
          <w:lang w:val="sr-Latn-RS"/>
        </w:rPr>
      </w:pPr>
      <w:r w:rsidRPr="00A84443">
        <w:rPr>
          <w:color w:val="161616"/>
          <w:lang w:val="sr-Latn-RS"/>
        </w:rPr>
        <w:t>U tom smislu se ponavlja da su dostupnost i pristup pacijenata kvalitetnim l</w:t>
      </w:r>
      <w:r w:rsidR="00E54599">
        <w:rPr>
          <w:color w:val="161616"/>
          <w:lang w:val="sr-Latn-RS"/>
        </w:rPr>
        <w:t>ij</w:t>
      </w:r>
      <w:r w:rsidRPr="00A84443">
        <w:rPr>
          <w:color w:val="161616"/>
          <w:lang w:val="sr-Latn-RS"/>
        </w:rPr>
        <w:t xml:space="preserve">ekovima važniji nego ikada u kontekstu trenutne pandemije </w:t>
      </w:r>
      <w:r w:rsidR="00387B35" w:rsidRPr="00A84443">
        <w:rPr>
          <w:color w:val="161616"/>
          <w:lang w:val="sr-Latn-RS"/>
        </w:rPr>
        <w:t xml:space="preserve">COVID-19. </w:t>
      </w:r>
      <w:r w:rsidRPr="00A84443">
        <w:rPr>
          <w:color w:val="161616"/>
          <w:lang w:val="sr-Latn-RS"/>
        </w:rPr>
        <w:t xml:space="preserve">Konvencija </w:t>
      </w:r>
      <w:r w:rsidR="00E54599">
        <w:rPr>
          <w:color w:val="161616"/>
          <w:lang w:val="sr-Latn-RS"/>
        </w:rPr>
        <w:t>Vijeća</w:t>
      </w:r>
      <w:r w:rsidRPr="00A84443">
        <w:rPr>
          <w:color w:val="161616"/>
          <w:lang w:val="sr-Latn-RS"/>
        </w:rPr>
        <w:t xml:space="preserve"> Evrope o razradi evropske farmakopeje</w:t>
      </w:r>
      <w:r w:rsidR="00DB0C5E">
        <w:rPr>
          <w:rStyle w:val="FootnoteReference"/>
          <w:color w:val="161616"/>
          <w:lang w:val="sr-Latn-RS"/>
        </w:rPr>
        <w:footnoteReference w:id="20"/>
      </w:r>
      <w:r w:rsidR="00387B35" w:rsidRPr="00A84443">
        <w:rPr>
          <w:color w:val="161616"/>
          <w:spacing w:val="14"/>
          <w:position w:val="8"/>
          <w:sz w:val="14"/>
          <w:lang w:val="sr-Latn-RS"/>
        </w:rPr>
        <w:t xml:space="preserve"> </w:t>
      </w:r>
      <w:r w:rsidR="00387B35" w:rsidRPr="00A84443">
        <w:rPr>
          <w:color w:val="161616"/>
          <w:lang w:val="sr-Latn-RS"/>
        </w:rPr>
        <w:t>im</w:t>
      </w:r>
      <w:r w:rsidRPr="00A84443">
        <w:rPr>
          <w:color w:val="161616"/>
          <w:lang w:val="sr-Latn-RS"/>
        </w:rPr>
        <w:t>a za cilj da obezb</w:t>
      </w:r>
      <w:r w:rsidR="00E54599">
        <w:rPr>
          <w:color w:val="161616"/>
          <w:lang w:val="sr-Latn-RS"/>
        </w:rPr>
        <w:t>ij</w:t>
      </w:r>
      <w:r w:rsidRPr="00A84443">
        <w:rPr>
          <w:color w:val="161616"/>
          <w:lang w:val="sr-Latn-RS"/>
        </w:rPr>
        <w:t>edi pravni i naučni osnov za obezb</w:t>
      </w:r>
      <w:r w:rsidR="00E54599">
        <w:rPr>
          <w:color w:val="161616"/>
          <w:lang w:val="sr-Latn-RS"/>
        </w:rPr>
        <w:t>j</w:t>
      </w:r>
      <w:r w:rsidRPr="00A84443">
        <w:rPr>
          <w:color w:val="161616"/>
          <w:lang w:val="sr-Latn-RS"/>
        </w:rPr>
        <w:t>eđenje kvalitetnih lekova i njihovih komponenata u formi jedinstvenog referentnog okvira</w:t>
      </w:r>
      <w:r w:rsidR="00387B35" w:rsidRPr="00A84443">
        <w:rPr>
          <w:color w:val="161616"/>
          <w:lang w:val="sr-Latn-RS"/>
        </w:rPr>
        <w:t xml:space="preserve">, </w:t>
      </w:r>
      <w:r w:rsidR="008E5BD6">
        <w:rPr>
          <w:color w:val="161616"/>
          <w:lang w:val="sr-Latn-RS"/>
        </w:rPr>
        <w:t>e</w:t>
      </w:r>
      <w:r w:rsidRPr="00A84443">
        <w:rPr>
          <w:color w:val="161616"/>
          <w:lang w:val="sr-Latn-RS"/>
        </w:rPr>
        <w:t>v</w:t>
      </w:r>
      <w:r w:rsidR="00387B35" w:rsidRPr="00A84443">
        <w:rPr>
          <w:color w:val="161616"/>
          <w:lang w:val="sr-Latn-RS"/>
        </w:rPr>
        <w:t>rop</w:t>
      </w:r>
      <w:r w:rsidRPr="00A84443">
        <w:rPr>
          <w:color w:val="161616"/>
          <w:lang w:val="sr-Latn-RS"/>
        </w:rPr>
        <w:t>ske farmakopeje</w:t>
      </w:r>
      <w:r w:rsidR="00387B35" w:rsidRPr="00A84443">
        <w:rPr>
          <w:color w:val="161616"/>
          <w:lang w:val="sr-Latn-RS"/>
        </w:rPr>
        <w:t xml:space="preserve">. </w:t>
      </w:r>
      <w:r w:rsidRPr="00A84443">
        <w:rPr>
          <w:color w:val="161616"/>
          <w:lang w:val="sr-Latn-RS"/>
        </w:rPr>
        <w:t>Pod okriljem Komisije za evropsku farmakopeju</w:t>
      </w:r>
      <w:r w:rsidR="00387B35" w:rsidRPr="00A84443">
        <w:rPr>
          <w:color w:val="161616"/>
          <w:lang w:val="sr-Latn-RS"/>
        </w:rPr>
        <w:t xml:space="preserve">, 39 </w:t>
      </w:r>
      <w:r w:rsidRPr="00A84443">
        <w:rPr>
          <w:color w:val="161616"/>
          <w:lang w:val="sr-Latn-RS"/>
        </w:rPr>
        <w:t xml:space="preserve">država članica i </w:t>
      </w:r>
      <w:r w:rsidR="00387B35" w:rsidRPr="00A84443">
        <w:rPr>
          <w:color w:val="161616"/>
          <w:lang w:val="sr-Latn-RS"/>
        </w:rPr>
        <w:t>E</w:t>
      </w:r>
      <w:r w:rsidRPr="00A84443">
        <w:rPr>
          <w:color w:val="161616"/>
          <w:lang w:val="sr-Latn-RS"/>
        </w:rPr>
        <w:t>v</w:t>
      </w:r>
      <w:r w:rsidR="00387B35" w:rsidRPr="00A84443">
        <w:rPr>
          <w:color w:val="161616"/>
          <w:lang w:val="sr-Latn-RS"/>
        </w:rPr>
        <w:t>rop</w:t>
      </w:r>
      <w:r w:rsidRPr="00A84443">
        <w:rPr>
          <w:color w:val="161616"/>
          <w:lang w:val="sr-Latn-RS"/>
        </w:rPr>
        <w:t>ska unija</w:t>
      </w:r>
      <w:r w:rsidR="00387B35" w:rsidRPr="00A84443">
        <w:rPr>
          <w:color w:val="161616"/>
          <w:lang w:val="sr-Latn-RS"/>
        </w:rPr>
        <w:t xml:space="preserve">, </w:t>
      </w:r>
      <w:r w:rsidRPr="00A84443">
        <w:rPr>
          <w:color w:val="161616"/>
          <w:lang w:val="sr-Latn-RS"/>
        </w:rPr>
        <w:t xml:space="preserve">zajedno sa stručnjacima iz </w:t>
      </w:r>
      <w:r w:rsidR="00387B35" w:rsidRPr="00A84443">
        <w:rPr>
          <w:color w:val="161616"/>
          <w:lang w:val="sr-Latn-RS"/>
        </w:rPr>
        <w:t xml:space="preserve">29 </w:t>
      </w:r>
      <w:r w:rsidRPr="00A84443">
        <w:rPr>
          <w:color w:val="161616"/>
          <w:lang w:val="sr-Latn-RS"/>
        </w:rPr>
        <w:t>zemalja posmatrača</w:t>
      </w:r>
      <w:r w:rsidR="00387B35" w:rsidRPr="00A84443">
        <w:rPr>
          <w:color w:val="161616"/>
          <w:lang w:val="sr-Latn-RS"/>
        </w:rPr>
        <w:t xml:space="preserve">, </w:t>
      </w:r>
      <w:r w:rsidRPr="00A84443">
        <w:rPr>
          <w:color w:val="161616"/>
          <w:lang w:val="sr-Latn-RS"/>
        </w:rPr>
        <w:t>uključujući i Sv</w:t>
      </w:r>
      <w:r w:rsidR="00E54599">
        <w:rPr>
          <w:color w:val="161616"/>
          <w:lang w:val="sr-Latn-RS"/>
        </w:rPr>
        <w:t>j</w:t>
      </w:r>
      <w:r w:rsidRPr="00A84443">
        <w:rPr>
          <w:color w:val="161616"/>
          <w:lang w:val="sr-Latn-RS"/>
        </w:rPr>
        <w:t>etsku zdravstvenu organizaciju, ujedinjuju snage i vrše pod</w:t>
      </w:r>
      <w:r w:rsidR="00E54599">
        <w:rPr>
          <w:color w:val="161616"/>
          <w:lang w:val="sr-Latn-RS"/>
        </w:rPr>
        <w:t>j</w:t>
      </w:r>
      <w:r w:rsidRPr="00A84443">
        <w:rPr>
          <w:color w:val="161616"/>
          <w:lang w:val="sr-Latn-RS"/>
        </w:rPr>
        <w:t>elu posla za definisanje standarda kvaliteta</w:t>
      </w:r>
      <w:r w:rsidR="00387B35" w:rsidRPr="00A84443">
        <w:rPr>
          <w:color w:val="161616"/>
          <w:lang w:val="sr-Latn-RS"/>
        </w:rPr>
        <w:t xml:space="preserve">, </w:t>
      </w:r>
      <w:r w:rsidRPr="00A84443">
        <w:rPr>
          <w:color w:val="161616"/>
          <w:lang w:val="sr-Latn-RS"/>
        </w:rPr>
        <w:t>koji važe za sve zemlj</w:t>
      </w:r>
      <w:r w:rsidR="009A21D0" w:rsidRPr="00A84443">
        <w:rPr>
          <w:color w:val="161616"/>
          <w:lang w:val="sr-Latn-RS"/>
        </w:rPr>
        <w:t>e</w:t>
      </w:r>
      <w:r w:rsidRPr="00A84443">
        <w:rPr>
          <w:color w:val="161616"/>
          <w:lang w:val="sr-Latn-RS"/>
        </w:rPr>
        <w:t xml:space="preserve"> potpisnice i prim</w:t>
      </w:r>
      <w:r w:rsidR="00E54599">
        <w:rPr>
          <w:color w:val="161616"/>
          <w:lang w:val="sr-Latn-RS"/>
        </w:rPr>
        <w:t>ij</w:t>
      </w:r>
      <w:r w:rsidRPr="00A84443">
        <w:rPr>
          <w:color w:val="161616"/>
          <w:lang w:val="sr-Latn-RS"/>
        </w:rPr>
        <w:t xml:space="preserve">enjuju se u više od </w:t>
      </w:r>
      <w:r w:rsidR="00387B35" w:rsidRPr="00A84443">
        <w:rPr>
          <w:color w:val="161616"/>
          <w:lang w:val="sr-Latn-RS"/>
        </w:rPr>
        <w:t xml:space="preserve">120 </w:t>
      </w:r>
      <w:r w:rsidRPr="00A84443">
        <w:rPr>
          <w:color w:val="161616"/>
          <w:lang w:val="sr-Latn-RS"/>
        </w:rPr>
        <w:t>zemalja širom sv</w:t>
      </w:r>
      <w:r w:rsidR="00E54599">
        <w:rPr>
          <w:color w:val="161616"/>
          <w:lang w:val="sr-Latn-RS"/>
        </w:rPr>
        <w:t>ij</w:t>
      </w:r>
      <w:r w:rsidRPr="00A84443">
        <w:rPr>
          <w:color w:val="161616"/>
          <w:lang w:val="sr-Latn-RS"/>
        </w:rPr>
        <w:t>eta</w:t>
      </w:r>
      <w:r w:rsidR="00387B35" w:rsidRPr="00A84443">
        <w:rPr>
          <w:color w:val="161616"/>
          <w:lang w:val="sr-Latn-RS"/>
        </w:rPr>
        <w:t>.</w:t>
      </w:r>
    </w:p>
    <w:p w14:paraId="716321A0" w14:textId="77777777" w:rsidR="00047EA6" w:rsidRPr="00A84443" w:rsidRDefault="00047EA6">
      <w:pPr>
        <w:pStyle w:val="BodyText"/>
        <w:spacing w:before="7"/>
        <w:rPr>
          <w:sz w:val="21"/>
          <w:lang w:val="sr-Latn-RS"/>
        </w:rPr>
      </w:pPr>
    </w:p>
    <w:p w14:paraId="030DF336" w14:textId="7BF3E948" w:rsidR="00047EA6" w:rsidRPr="00A84443" w:rsidRDefault="00D22E63">
      <w:pPr>
        <w:pStyle w:val="BodyText"/>
        <w:spacing w:before="1" w:line="237" w:lineRule="auto"/>
        <w:ind w:left="117" w:right="418"/>
        <w:jc w:val="both"/>
        <w:rPr>
          <w:lang w:val="sr-Latn-RS"/>
        </w:rPr>
      </w:pPr>
      <w:r w:rsidRPr="00A84443">
        <w:rPr>
          <w:lang w:val="sr-Latn-RS"/>
        </w:rPr>
        <w:t>Konačno, i po Konvenciji i po Evropskoj socijalnoj povelji, države imaju obavezu da informišu stanovništvo o poznatim rizicima koji se odnose na pandemiju i o ponašanjima i m</w:t>
      </w:r>
      <w:r w:rsidR="00E54599">
        <w:rPr>
          <w:lang w:val="sr-Latn-RS"/>
        </w:rPr>
        <w:t>j</w:t>
      </w:r>
      <w:r w:rsidRPr="00A84443">
        <w:rPr>
          <w:lang w:val="sr-Latn-RS"/>
        </w:rPr>
        <w:t>erama za sprečavanje širenja bolesti</w:t>
      </w:r>
      <w:r w:rsidR="00834C5B">
        <w:rPr>
          <w:rStyle w:val="FootnoteReference"/>
          <w:lang w:val="sr-Latn-RS"/>
        </w:rPr>
        <w:footnoteReference w:id="21"/>
      </w:r>
      <w:r w:rsidR="00387B35" w:rsidRPr="00A84443">
        <w:rPr>
          <w:lang w:val="sr-Latn-RS"/>
        </w:rPr>
        <w:t>.</w:t>
      </w:r>
    </w:p>
    <w:p w14:paraId="49380A4D" w14:textId="77777777" w:rsidR="00047EA6" w:rsidRPr="00A84443" w:rsidRDefault="00047EA6">
      <w:pPr>
        <w:pStyle w:val="BodyText"/>
        <w:spacing w:before="7"/>
        <w:rPr>
          <w:sz w:val="24"/>
          <w:lang w:val="sr-Latn-RS"/>
        </w:rPr>
      </w:pPr>
    </w:p>
    <w:p w14:paraId="05F001D9" w14:textId="2E8D8B7B" w:rsidR="00047EA6" w:rsidRPr="00A84443" w:rsidRDefault="00D22E63" w:rsidP="00844359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ind w:right="525"/>
        <w:rPr>
          <w:lang w:val="sr-Latn-RS"/>
        </w:rPr>
      </w:pPr>
      <w:r w:rsidRPr="00A84443">
        <w:rPr>
          <w:lang w:val="sr-Latn-RS"/>
        </w:rPr>
        <w:t xml:space="preserve">Pravo na slobodu i </w:t>
      </w:r>
      <w:r w:rsidR="009318D7" w:rsidRPr="00A84443">
        <w:rPr>
          <w:lang w:val="sr-Latn-RS"/>
        </w:rPr>
        <w:t>bezb</w:t>
      </w:r>
      <w:r w:rsidR="00E54599">
        <w:rPr>
          <w:lang w:val="sr-Latn-RS"/>
        </w:rPr>
        <w:t>j</w:t>
      </w:r>
      <w:r w:rsidR="009318D7" w:rsidRPr="00A84443">
        <w:rPr>
          <w:lang w:val="sr-Latn-RS"/>
        </w:rPr>
        <w:t xml:space="preserve">ednost </w:t>
      </w:r>
      <w:r w:rsidR="00387B35" w:rsidRPr="00A84443">
        <w:rPr>
          <w:lang w:val="sr-Latn-RS"/>
        </w:rPr>
        <w:t>(</w:t>
      </w:r>
      <w:r w:rsidR="009318D7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5) </w:t>
      </w:r>
      <w:r w:rsidR="009318D7" w:rsidRPr="00A84443">
        <w:rPr>
          <w:lang w:val="sr-Latn-RS"/>
        </w:rPr>
        <w:t xml:space="preserve">i pravo na pravično suđenje </w:t>
      </w:r>
      <w:r w:rsidR="00387B35" w:rsidRPr="00A84443">
        <w:rPr>
          <w:lang w:val="sr-Latn-RS"/>
        </w:rPr>
        <w:t>(</w:t>
      </w:r>
      <w:r w:rsidR="009318D7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6)</w:t>
      </w:r>
    </w:p>
    <w:p w14:paraId="63838C17" w14:textId="77777777" w:rsidR="00047EA6" w:rsidRPr="00A84443" w:rsidRDefault="00047EA6">
      <w:pPr>
        <w:pStyle w:val="BodyText"/>
        <w:spacing w:before="1"/>
        <w:rPr>
          <w:b/>
          <w:i/>
          <w:sz w:val="24"/>
          <w:lang w:val="sr-Latn-RS"/>
        </w:rPr>
      </w:pPr>
    </w:p>
    <w:p w14:paraId="48A23947" w14:textId="2080178B" w:rsidR="00047EA6" w:rsidRPr="00A84443" w:rsidRDefault="00565D02">
      <w:pPr>
        <w:pStyle w:val="BodyText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M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ere bez presedana koje se preduzimaju u odgovoru na </w:t>
      </w:r>
      <w:r w:rsidR="00387B35" w:rsidRPr="00A84443">
        <w:rPr>
          <w:lang w:val="sr-Latn-RS"/>
        </w:rPr>
        <w:t>COVID-19 m</w:t>
      </w:r>
      <w:r w:rsidRPr="00A84443">
        <w:rPr>
          <w:lang w:val="sr-Latn-RS"/>
        </w:rPr>
        <w:t>ogu da utiču na sposobnost države da garantuje pravo na slobodu i da izm</w:t>
      </w:r>
      <w:r w:rsidR="00E54599">
        <w:rPr>
          <w:lang w:val="sr-Latn-RS"/>
        </w:rPr>
        <w:t>ij</w:t>
      </w:r>
      <w:r w:rsidRPr="00A84443">
        <w:rPr>
          <w:lang w:val="sr-Latn-RS"/>
        </w:rPr>
        <w:t>ene redovno funkcionisanje pravosudnog sistema</w:t>
      </w:r>
      <w:r w:rsidR="00387B35" w:rsidRPr="00A84443">
        <w:rPr>
          <w:lang w:val="sr-Latn-RS"/>
        </w:rPr>
        <w:t>.</w:t>
      </w:r>
    </w:p>
    <w:p w14:paraId="127C3A5A" w14:textId="77777777" w:rsidR="00047EA6" w:rsidRPr="00A84443" w:rsidRDefault="00047EA6">
      <w:pPr>
        <w:pStyle w:val="BodyText"/>
        <w:rPr>
          <w:sz w:val="20"/>
          <w:lang w:val="sr-Latn-RS"/>
        </w:rPr>
      </w:pPr>
    </w:p>
    <w:p w14:paraId="42D75534" w14:textId="15B4CE10" w:rsidR="00047EA6" w:rsidRPr="00BC2FA8" w:rsidRDefault="0070370F" w:rsidP="00BC2FA8">
      <w:pPr>
        <w:pStyle w:val="BodyText"/>
        <w:spacing w:before="94"/>
        <w:ind w:left="117" w:right="416"/>
        <w:jc w:val="both"/>
        <w:rPr>
          <w:spacing w:val="-2"/>
          <w:lang w:val="sr-Latn-RS"/>
        </w:rPr>
      </w:pP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5.1(e) </w:t>
      </w:r>
      <w:r w:rsidR="00904435" w:rsidRPr="00A84443">
        <w:rPr>
          <w:lang w:val="sr-Latn-RS"/>
        </w:rPr>
        <w:t xml:space="preserve">propisuje da sprečavanje širenja zaraznih bolesti predstavlja jedan od osnova po kom lice može biti lišeno </w:t>
      </w:r>
      <w:r w:rsidR="00A84443" w:rsidRPr="00A84443">
        <w:rPr>
          <w:lang w:val="sr-Latn-RS"/>
        </w:rPr>
        <w:t>slobode</w:t>
      </w:r>
      <w:r w:rsidR="00387B35" w:rsidRPr="00A84443">
        <w:rPr>
          <w:lang w:val="sr-Latn-RS"/>
        </w:rPr>
        <w:t>.</w:t>
      </w:r>
      <w:r w:rsidR="00387B35" w:rsidRPr="00A84443">
        <w:rPr>
          <w:spacing w:val="-2"/>
          <w:lang w:val="sr-Latn-RS"/>
        </w:rPr>
        <w:t xml:space="preserve"> </w:t>
      </w:r>
      <w:r w:rsidR="00904435" w:rsidRPr="00A84443">
        <w:rPr>
          <w:spacing w:val="-2"/>
          <w:lang w:val="sr-Latn-RS"/>
        </w:rPr>
        <w:t>Pr</w:t>
      </w:r>
      <w:r w:rsidR="005C0458">
        <w:rPr>
          <w:spacing w:val="-2"/>
          <w:lang w:val="sr-Latn-RS"/>
        </w:rPr>
        <w:t>ije</w:t>
      </w:r>
      <w:r w:rsidR="00904435" w:rsidRPr="00A84443">
        <w:rPr>
          <w:spacing w:val="-2"/>
          <w:lang w:val="sr-Latn-RS"/>
        </w:rPr>
        <w:t xml:space="preserve"> nego što preduzmu takvu m</w:t>
      </w:r>
      <w:r w:rsidR="005C0458">
        <w:rPr>
          <w:spacing w:val="-2"/>
          <w:lang w:val="sr-Latn-RS"/>
        </w:rPr>
        <w:t>j</w:t>
      </w:r>
      <w:r w:rsidR="00904435" w:rsidRPr="00A84443">
        <w:rPr>
          <w:spacing w:val="-2"/>
          <w:lang w:val="sr-Latn-RS"/>
        </w:rPr>
        <w:t xml:space="preserve">eru, od država se </w:t>
      </w:r>
      <w:r w:rsidR="00904435" w:rsidRPr="008E5BD6">
        <w:rPr>
          <w:spacing w:val="-2"/>
          <w:lang w:val="sr-Latn-RS"/>
        </w:rPr>
        <w:t>očekuje da prov</w:t>
      </w:r>
      <w:r w:rsidR="005C0458">
        <w:rPr>
          <w:spacing w:val="-2"/>
          <w:lang w:val="sr-Latn-RS"/>
        </w:rPr>
        <w:t>j</w:t>
      </w:r>
      <w:r w:rsidR="00904435" w:rsidRPr="008E5BD6">
        <w:rPr>
          <w:spacing w:val="-2"/>
          <w:lang w:val="sr-Latn-RS"/>
        </w:rPr>
        <w:t>ere postojanje relevantnog zakonskog osnova</w:t>
      </w:r>
      <w:r w:rsidR="00904435" w:rsidRPr="00A84443">
        <w:rPr>
          <w:spacing w:val="-2"/>
          <w:lang w:val="sr-Latn-RS"/>
        </w:rPr>
        <w:t xml:space="preserve"> i razmotre da li su m</w:t>
      </w:r>
      <w:r w:rsidR="005C0458">
        <w:rPr>
          <w:spacing w:val="-2"/>
          <w:lang w:val="sr-Latn-RS"/>
        </w:rPr>
        <w:t>j</w:t>
      </w:r>
      <w:r w:rsidR="00904435" w:rsidRPr="00A84443">
        <w:rPr>
          <w:spacing w:val="-2"/>
          <w:lang w:val="sr-Latn-RS"/>
        </w:rPr>
        <w:t>ere koje podrazum</w:t>
      </w:r>
      <w:r w:rsidR="005C0458">
        <w:rPr>
          <w:spacing w:val="-2"/>
          <w:lang w:val="sr-Latn-RS"/>
        </w:rPr>
        <w:t>j</w:t>
      </w:r>
      <w:r w:rsidR="00904435" w:rsidRPr="00A84443">
        <w:rPr>
          <w:spacing w:val="-2"/>
          <w:lang w:val="sr-Latn-RS"/>
        </w:rPr>
        <w:t>evaju lišavanje slobode striktno neophodne u poređenju sa nekim drugim manje strogim alternativnim m</w:t>
      </w:r>
      <w:r w:rsidR="005C0458">
        <w:rPr>
          <w:spacing w:val="-2"/>
          <w:lang w:val="sr-Latn-RS"/>
        </w:rPr>
        <w:t>j</w:t>
      </w:r>
      <w:r w:rsidR="00904435" w:rsidRPr="00A84443">
        <w:rPr>
          <w:spacing w:val="-2"/>
          <w:lang w:val="sr-Latn-RS"/>
        </w:rPr>
        <w:t>erama</w:t>
      </w:r>
      <w:r w:rsidR="00387B35" w:rsidRPr="00A84443">
        <w:rPr>
          <w:lang w:val="sr-Latn-RS"/>
        </w:rPr>
        <w:t xml:space="preserve">. </w:t>
      </w:r>
      <w:r w:rsidR="00904435" w:rsidRPr="00A84443">
        <w:rPr>
          <w:lang w:val="sr-Latn-RS"/>
        </w:rPr>
        <w:t xml:space="preserve">U ovom kontekstu važni su </w:t>
      </w:r>
      <w:r w:rsidR="00904435" w:rsidRPr="00953926">
        <w:rPr>
          <w:lang w:val="sr-Latn-RS"/>
        </w:rPr>
        <w:t xml:space="preserve">dužina </w:t>
      </w:r>
      <w:r w:rsidR="00BC2FA8" w:rsidRPr="00953926">
        <w:rPr>
          <w:lang w:val="sr-Latn-RS"/>
        </w:rPr>
        <w:t>obaveznog</w:t>
      </w:r>
      <w:r w:rsidR="00904435" w:rsidRPr="00953926">
        <w:rPr>
          <w:lang w:val="sr-Latn-RS"/>
        </w:rPr>
        <w:t xml:space="preserve"> </w:t>
      </w:r>
      <w:r w:rsidR="00953926">
        <w:rPr>
          <w:lang w:val="sr-Latn-RS"/>
        </w:rPr>
        <w:t>zadržavanja</w:t>
      </w:r>
      <w:r w:rsidR="00904435" w:rsidRPr="00953926">
        <w:rPr>
          <w:lang w:val="sr-Latn-RS"/>
        </w:rPr>
        <w:t xml:space="preserve"> i način kako se ono sprovodi u praksi</w:t>
      </w:r>
      <w:r w:rsidR="00387B35" w:rsidRPr="00953926">
        <w:rPr>
          <w:lang w:val="sr-Latn-RS"/>
        </w:rPr>
        <w:t>.</w:t>
      </w:r>
    </w:p>
    <w:p w14:paraId="59EC82CE" w14:textId="77777777" w:rsidR="00834C5B" w:rsidRDefault="00834C5B" w:rsidP="00834C5B">
      <w:pPr>
        <w:pStyle w:val="BodyText"/>
        <w:ind w:right="418"/>
        <w:jc w:val="both"/>
        <w:rPr>
          <w:sz w:val="24"/>
          <w:lang w:val="sr-Latn-RS"/>
        </w:rPr>
      </w:pPr>
    </w:p>
    <w:p w14:paraId="61630DA6" w14:textId="5452070A" w:rsidR="00047EA6" w:rsidRPr="00A84443" w:rsidRDefault="00904435" w:rsidP="00834C5B">
      <w:pPr>
        <w:pStyle w:val="BodyText"/>
        <w:ind w:left="117" w:right="418"/>
        <w:jc w:val="both"/>
        <w:rPr>
          <w:lang w:val="sr-Latn-RS"/>
        </w:rPr>
      </w:pPr>
      <w:r w:rsidRPr="00A84443">
        <w:rPr>
          <w:lang w:val="sr-Latn-RS"/>
        </w:rPr>
        <w:t>M</w:t>
      </w:r>
      <w:r w:rsidR="005C0458">
        <w:rPr>
          <w:lang w:val="sr-Latn-RS"/>
        </w:rPr>
        <w:t>j</w:t>
      </w:r>
      <w:r w:rsidRPr="00A84443">
        <w:rPr>
          <w:lang w:val="sr-Latn-RS"/>
        </w:rPr>
        <w:t xml:space="preserve">ere koje imaju za cilj prilagođavanje načina pristupa sudu treba da budu osmišljene na način koji je kompatibilan sa Članom </w:t>
      </w:r>
      <w:r w:rsidR="00387B35" w:rsidRPr="00A84443">
        <w:rPr>
          <w:lang w:val="sr-Latn-RS"/>
        </w:rPr>
        <w:t>6,</w:t>
      </w:r>
      <w:r w:rsidR="00387B35" w:rsidRPr="00A84443">
        <w:rPr>
          <w:spacing w:val="-19"/>
          <w:lang w:val="sr-Latn-RS"/>
        </w:rPr>
        <w:t xml:space="preserve"> </w:t>
      </w:r>
      <w:r w:rsidR="00387B35" w:rsidRPr="00A84443">
        <w:rPr>
          <w:lang w:val="sr-Latn-RS"/>
        </w:rPr>
        <w:t>n</w:t>
      </w:r>
      <w:r w:rsidRPr="00A84443">
        <w:rPr>
          <w:lang w:val="sr-Latn-RS"/>
        </w:rPr>
        <w:t xml:space="preserve">aročito u slučajevima koji zahtevaju posebnu proceduralnu </w:t>
      </w:r>
      <w:r w:rsidRPr="00953926">
        <w:rPr>
          <w:lang w:val="sr-Latn-RS"/>
        </w:rPr>
        <w:t>pažnju</w:t>
      </w:r>
      <w:r w:rsidR="00387B35" w:rsidRPr="00953926">
        <w:rPr>
          <w:spacing w:val="-18"/>
          <w:lang w:val="sr-Latn-RS"/>
        </w:rPr>
        <w:t xml:space="preserve"> </w:t>
      </w:r>
      <w:r w:rsidR="00387B35" w:rsidRPr="00953926">
        <w:rPr>
          <w:lang w:val="sr-Latn-RS"/>
        </w:rPr>
        <w:t>(</w:t>
      </w:r>
      <w:r w:rsidR="00834C5B" w:rsidRPr="00953926">
        <w:rPr>
          <w:lang w:val="sr-Latn-RS"/>
        </w:rPr>
        <w:t xml:space="preserve">ranjive </w:t>
      </w:r>
      <w:r w:rsidRPr="00953926">
        <w:rPr>
          <w:lang w:val="sr-Latn-RS"/>
        </w:rPr>
        <w:t>stranke</w:t>
      </w:r>
      <w:r w:rsidRPr="00A84443">
        <w:rPr>
          <w:lang w:val="sr-Latn-RS"/>
        </w:rPr>
        <w:t>, porodični i radni sporovi, itd.</w:t>
      </w:r>
      <w:r w:rsidR="00387B35" w:rsidRPr="00A84443">
        <w:rPr>
          <w:lang w:val="sr-Latn-RS"/>
        </w:rPr>
        <w:t>). Pro</w:t>
      </w:r>
      <w:r w:rsidRPr="00A84443">
        <w:rPr>
          <w:lang w:val="sr-Latn-RS"/>
        </w:rPr>
        <w:t>duženo zadržavanje u policijskom pritvoru ili odlaganje sudske revizije slučajeva lišavanja slobode može da dovede do</w:t>
      </w:r>
      <w:r w:rsidR="006444DD" w:rsidRPr="00A84443">
        <w:rPr>
          <w:lang w:val="sr-Latn-RS"/>
        </w:rPr>
        <w:t xml:space="preserve"> povrede</w:t>
      </w:r>
      <w:r w:rsidRPr="00A84443">
        <w:rPr>
          <w:lang w:val="sr-Latn-RS"/>
        </w:rPr>
        <w:t xml:space="preserve"> Člana </w:t>
      </w:r>
      <w:r w:rsidR="00387B35" w:rsidRPr="00A84443">
        <w:rPr>
          <w:lang w:val="sr-Latn-RS"/>
        </w:rPr>
        <w:t xml:space="preserve">5 </w:t>
      </w:r>
      <w:r w:rsidRPr="00A84443">
        <w:rPr>
          <w:lang w:val="sr-Latn-RS"/>
        </w:rPr>
        <w:t>Konvencije</w:t>
      </w:r>
      <w:r w:rsidR="00387B35" w:rsidRPr="00A84443">
        <w:rPr>
          <w:lang w:val="sr-Latn-RS"/>
        </w:rPr>
        <w:t>.</w:t>
      </w:r>
    </w:p>
    <w:p w14:paraId="300F79F7" w14:textId="77777777" w:rsidR="00047EA6" w:rsidRPr="00A84443" w:rsidRDefault="00047EA6">
      <w:pPr>
        <w:pStyle w:val="BodyText"/>
        <w:spacing w:before="3"/>
        <w:rPr>
          <w:sz w:val="24"/>
          <w:lang w:val="sr-Latn-RS"/>
        </w:rPr>
      </w:pPr>
    </w:p>
    <w:p w14:paraId="5CC6B858" w14:textId="2CA1F0C0" w:rsidR="00047EA6" w:rsidRPr="00A84443" w:rsidRDefault="00904435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lastRenderedPageBreak/>
        <w:t>Mora se priznati da odstupanja po Članu 15 mogu da uvećaju opseg dozvoljenih m</w:t>
      </w:r>
      <w:r w:rsidR="00564CD5">
        <w:rPr>
          <w:lang w:val="sr-Latn-RS"/>
        </w:rPr>
        <w:t>j</w:t>
      </w:r>
      <w:r w:rsidRPr="00A84443">
        <w:rPr>
          <w:lang w:val="sr-Latn-RS"/>
        </w:rPr>
        <w:t xml:space="preserve">era po Članovima </w:t>
      </w:r>
      <w:r w:rsidR="00387B35" w:rsidRPr="00A84443">
        <w:rPr>
          <w:lang w:val="sr-Latn-RS"/>
        </w:rPr>
        <w:t xml:space="preserve">5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6 </w:t>
      </w:r>
      <w:r w:rsidR="00295F85" w:rsidRPr="00A84443">
        <w:rPr>
          <w:lang w:val="sr-Latn-RS"/>
        </w:rPr>
        <w:t>K</w:t>
      </w:r>
      <w:r w:rsidRPr="00A84443">
        <w:rPr>
          <w:lang w:val="sr-Latn-RS"/>
        </w:rPr>
        <w:t>onvencije i da prošire polje manevrisanja državnih organa u poštovanju određenih vremenskih okvira i drugih redovnih proceduralnih uslova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Međutim, </w:t>
      </w:r>
      <w:r w:rsidR="009C47AA" w:rsidRPr="00A84443">
        <w:rPr>
          <w:lang w:val="sr-Latn-RS"/>
        </w:rPr>
        <w:t xml:space="preserve">u sadašnjim okolnostima potrebno je </w:t>
      </w:r>
      <w:r w:rsidR="002A7B18">
        <w:rPr>
          <w:lang w:val="sr-Latn-RS"/>
        </w:rPr>
        <w:t xml:space="preserve">da se u </w:t>
      </w:r>
      <w:r w:rsidR="009C47AA" w:rsidRPr="00A84443">
        <w:rPr>
          <w:lang w:val="sr-Latn-RS"/>
        </w:rPr>
        <w:t>načelu</w:t>
      </w:r>
      <w:r w:rsidR="002A7B18">
        <w:rPr>
          <w:lang w:val="sr-Latn-RS"/>
        </w:rPr>
        <w:t xml:space="preserve"> imaju u vidu</w:t>
      </w:r>
      <w:r w:rsidR="009C47AA" w:rsidRPr="00A84443">
        <w:rPr>
          <w:lang w:val="sr-Latn-RS"/>
        </w:rPr>
        <w:t xml:space="preserve"> </w:t>
      </w:r>
      <w:r w:rsidR="002A7B18">
        <w:rPr>
          <w:lang w:val="sr-Latn-RS"/>
        </w:rPr>
        <w:t>osnovn</w:t>
      </w:r>
      <w:r w:rsidR="00564CD5">
        <w:rPr>
          <w:lang w:val="sr-Latn-RS"/>
        </w:rPr>
        <w:t>e</w:t>
      </w:r>
      <w:r w:rsidRPr="00A84443">
        <w:rPr>
          <w:lang w:val="sr-Latn-RS"/>
        </w:rPr>
        <w:t xml:space="preserve"> zabran</w:t>
      </w:r>
      <w:r w:rsidR="00564CD5">
        <w:rPr>
          <w:lang w:val="sr-Latn-RS"/>
        </w:rPr>
        <w:t xml:space="preserve">e </w:t>
      </w:r>
      <w:r w:rsidRPr="00A84443">
        <w:rPr>
          <w:lang w:val="sr-Latn-RS"/>
        </w:rPr>
        <w:t>zadržavanja bez pravnog osnova ili blagovremeno</w:t>
      </w:r>
      <w:r w:rsidR="009C47AA" w:rsidRPr="00A84443">
        <w:rPr>
          <w:lang w:val="sr-Latn-RS"/>
        </w:rPr>
        <w:t>g sudskog razmatranja</w:t>
      </w:r>
      <w:r w:rsidR="00387B35" w:rsidRPr="00A84443">
        <w:rPr>
          <w:lang w:val="sr-Latn-RS"/>
        </w:rPr>
        <w:t xml:space="preserve">, </w:t>
      </w:r>
      <w:r w:rsidR="009C47AA" w:rsidRPr="00A84443">
        <w:rPr>
          <w:lang w:val="sr-Latn-RS"/>
        </w:rPr>
        <w:t>kao i neophodnost da se zadržanim licima obezb</w:t>
      </w:r>
      <w:r w:rsidR="00564CD5">
        <w:rPr>
          <w:lang w:val="sr-Latn-RS"/>
        </w:rPr>
        <w:t>j</w:t>
      </w:r>
      <w:r w:rsidR="009C47AA" w:rsidRPr="00A84443">
        <w:rPr>
          <w:lang w:val="sr-Latn-RS"/>
        </w:rPr>
        <w:t>ede najvažnije proce</w:t>
      </w:r>
      <w:r w:rsidR="00D7203A">
        <w:rPr>
          <w:lang w:val="sr-Latn-RS"/>
        </w:rPr>
        <w:t xml:space="preserve">sne </w:t>
      </w:r>
      <w:r w:rsidR="009C47AA" w:rsidRPr="00A84443">
        <w:rPr>
          <w:lang w:val="sr-Latn-RS"/>
        </w:rPr>
        <w:t xml:space="preserve">garancije, kao što su pristup </w:t>
      </w:r>
      <w:r w:rsidR="00564CD5">
        <w:rPr>
          <w:lang w:val="sr-Latn-RS"/>
        </w:rPr>
        <w:t>doktoru</w:t>
      </w:r>
      <w:r w:rsidR="009C47AA" w:rsidRPr="00A84443">
        <w:rPr>
          <w:lang w:val="sr-Latn-RS"/>
        </w:rPr>
        <w:t xml:space="preserve">, </w:t>
      </w:r>
      <w:r w:rsidR="00A84443" w:rsidRPr="00A84443">
        <w:rPr>
          <w:lang w:val="sr-Latn-RS"/>
        </w:rPr>
        <w:t>braniocu</w:t>
      </w:r>
      <w:r w:rsidR="009C47AA" w:rsidRPr="00A84443">
        <w:rPr>
          <w:lang w:val="sr-Latn-RS"/>
        </w:rPr>
        <w:t xml:space="preserve"> ili bliskom srodniku</w:t>
      </w:r>
      <w:r w:rsidR="00387B35" w:rsidRPr="00A84443">
        <w:rPr>
          <w:lang w:val="sr-Latn-RS"/>
        </w:rPr>
        <w:t xml:space="preserve">. </w:t>
      </w:r>
      <w:r w:rsidR="009C47AA" w:rsidRPr="00A84443">
        <w:rPr>
          <w:lang w:val="sr-Latn-RS"/>
        </w:rPr>
        <w:t>Države takođe ostaju u opštoj obavezi da obezb</w:t>
      </w:r>
      <w:r w:rsidR="00564CD5">
        <w:rPr>
          <w:lang w:val="sr-Latn-RS"/>
        </w:rPr>
        <w:t>j</w:t>
      </w:r>
      <w:r w:rsidR="009C47AA" w:rsidRPr="00A84443">
        <w:rPr>
          <w:lang w:val="sr-Latn-RS"/>
        </w:rPr>
        <w:t xml:space="preserve">ede pravičnost </w:t>
      </w:r>
      <w:r w:rsidR="00387B35" w:rsidRPr="00A84443">
        <w:rPr>
          <w:lang w:val="sr-Latn-RS"/>
        </w:rPr>
        <w:t>(</w:t>
      </w:r>
      <w:r w:rsidR="009C47AA" w:rsidRPr="00A84443">
        <w:rPr>
          <w:lang w:val="sr-Latn-RS"/>
        </w:rPr>
        <w:t>kao na prim</w:t>
      </w:r>
      <w:r w:rsidR="00564CD5">
        <w:rPr>
          <w:lang w:val="sr-Latn-RS"/>
        </w:rPr>
        <w:t>ij</w:t>
      </w:r>
      <w:r w:rsidR="009C47AA" w:rsidRPr="00A84443">
        <w:rPr>
          <w:lang w:val="sr-Latn-RS"/>
        </w:rPr>
        <w:t>er jednakost oružja</w:t>
      </w:r>
      <w:r w:rsidR="00387B35" w:rsidRPr="00A84443">
        <w:rPr>
          <w:lang w:val="sr-Latn-RS"/>
        </w:rPr>
        <w:t xml:space="preserve">) </w:t>
      </w:r>
      <w:r w:rsidR="009C47AA" w:rsidRPr="00A84443">
        <w:rPr>
          <w:lang w:val="sr-Latn-RS"/>
        </w:rPr>
        <w:t>i da poštuju pretpostavku nevinosti, i obezb</w:t>
      </w:r>
      <w:r w:rsidR="00564CD5">
        <w:rPr>
          <w:lang w:val="sr-Latn-RS"/>
        </w:rPr>
        <w:t>j</w:t>
      </w:r>
      <w:r w:rsidR="009C47AA" w:rsidRPr="00A84443">
        <w:rPr>
          <w:lang w:val="sr-Latn-RS"/>
        </w:rPr>
        <w:t>ede da se ne preduzimaju nikakvi koraci koji bi predstavljali uplitanje u nezavisnost sudija ili sudova</w:t>
      </w:r>
      <w:r w:rsidR="00387B35" w:rsidRPr="00A84443">
        <w:rPr>
          <w:lang w:val="sr-Latn-RS"/>
        </w:rPr>
        <w:t>.</w:t>
      </w:r>
    </w:p>
    <w:p w14:paraId="4E9AE9F9" w14:textId="77777777" w:rsidR="00047EA6" w:rsidRPr="00A84443" w:rsidRDefault="00047EA6">
      <w:pPr>
        <w:pStyle w:val="BodyText"/>
        <w:spacing w:before="6"/>
        <w:rPr>
          <w:sz w:val="24"/>
          <w:lang w:val="sr-Latn-RS"/>
        </w:rPr>
      </w:pPr>
    </w:p>
    <w:p w14:paraId="280EE5C7" w14:textId="5B9DCB2B" w:rsidR="00047EA6" w:rsidRPr="00D7203A" w:rsidRDefault="009C47AA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spacing w:before="1"/>
        <w:ind w:right="416"/>
        <w:rPr>
          <w:lang w:val="sr-Latn-RS"/>
        </w:rPr>
      </w:pPr>
      <w:r w:rsidRPr="00D7203A">
        <w:rPr>
          <w:lang w:val="sr-Latn-RS"/>
        </w:rPr>
        <w:t xml:space="preserve">Pravo na poštovanje privatnog života, sloboda </w:t>
      </w:r>
      <w:r w:rsidR="00CB5511" w:rsidRPr="00D7203A">
        <w:rPr>
          <w:lang w:val="sr-Latn-RS"/>
        </w:rPr>
        <w:t>sav</w:t>
      </w:r>
      <w:r w:rsidR="00564CD5">
        <w:rPr>
          <w:lang w:val="sr-Latn-RS"/>
        </w:rPr>
        <w:t>j</w:t>
      </w:r>
      <w:r w:rsidR="00CB5511" w:rsidRPr="00D7203A">
        <w:rPr>
          <w:lang w:val="sr-Latn-RS"/>
        </w:rPr>
        <w:t>esti</w:t>
      </w:r>
      <w:r w:rsidRPr="00D7203A">
        <w:rPr>
          <w:lang w:val="sr-Latn-RS"/>
        </w:rPr>
        <w:t>, sloboda izražavanja, sloboda udruživanja</w:t>
      </w:r>
    </w:p>
    <w:p w14:paraId="5E91C17B" w14:textId="77777777" w:rsidR="00047EA6" w:rsidRPr="00A84443" w:rsidRDefault="00047EA6">
      <w:pPr>
        <w:pStyle w:val="BodyText"/>
        <w:spacing w:before="10"/>
        <w:rPr>
          <w:b/>
          <w:i/>
          <w:sz w:val="21"/>
          <w:lang w:val="sr-Latn-RS"/>
        </w:rPr>
      </w:pPr>
    </w:p>
    <w:p w14:paraId="18B882BF" w14:textId="47448ECF" w:rsidR="00047EA6" w:rsidRPr="00A84443" w:rsidRDefault="00BA189B">
      <w:pPr>
        <w:pStyle w:val="BodyText"/>
        <w:spacing w:before="1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D</w:t>
      </w:r>
      <w:r w:rsidR="00564CD5">
        <w:rPr>
          <w:lang w:val="sr-Latn-RS"/>
        </w:rPr>
        <w:t>j</w:t>
      </w:r>
      <w:r w:rsidRPr="00A84443">
        <w:rPr>
          <w:lang w:val="sr-Latn-RS"/>
        </w:rPr>
        <w:t xml:space="preserve">elotvorno uživanje svih ovih prava i sloboda zagarantovanih Članovima </w:t>
      </w:r>
      <w:r w:rsidR="00387B35" w:rsidRPr="00A84443">
        <w:rPr>
          <w:lang w:val="sr-Latn-RS"/>
        </w:rPr>
        <w:t xml:space="preserve">8, 9, 10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11 </w:t>
      </w:r>
      <w:r w:rsidRPr="00A84443">
        <w:rPr>
          <w:lang w:val="sr-Latn-RS"/>
        </w:rPr>
        <w:t xml:space="preserve">Konvencije predstavlja </w:t>
      </w:r>
      <w:r w:rsidR="00295F85" w:rsidRPr="00A84443">
        <w:rPr>
          <w:lang w:val="sr-Latn-RS"/>
        </w:rPr>
        <w:t>m</w:t>
      </w:r>
      <w:r w:rsidR="00564CD5">
        <w:rPr>
          <w:lang w:val="sr-Latn-RS"/>
        </w:rPr>
        <w:t>j</w:t>
      </w:r>
      <w:r w:rsidR="00295F85" w:rsidRPr="00A84443">
        <w:rPr>
          <w:lang w:val="sr-Latn-RS"/>
        </w:rPr>
        <w:t xml:space="preserve">erilo </w:t>
      </w:r>
      <w:r w:rsidR="00387B35" w:rsidRPr="00A84443">
        <w:rPr>
          <w:lang w:val="sr-Latn-RS"/>
        </w:rPr>
        <w:t>modern</w:t>
      </w:r>
      <w:r w:rsidRPr="00A84443">
        <w:rPr>
          <w:lang w:val="sr-Latn-RS"/>
        </w:rPr>
        <w:t>ih demokratskih društava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Njihovo ograničavanje dozvoljeno je isključivo ukoliko je takvo ograničavanje propisano zakonom i srazm</w:t>
      </w:r>
      <w:r w:rsidR="00564CD5">
        <w:rPr>
          <w:lang w:val="sr-Latn-RS"/>
        </w:rPr>
        <w:t>j</w:t>
      </w:r>
      <w:r w:rsidRPr="00A84443">
        <w:rPr>
          <w:lang w:val="sr-Latn-RS"/>
        </w:rPr>
        <w:t>erno legitimnom cilju koji se teži postići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uključujući i cilj zaštite zdravlja</w:t>
      </w:r>
      <w:r w:rsidR="00387B35" w:rsidRPr="00A84443">
        <w:rPr>
          <w:lang w:val="sr-Latn-RS"/>
        </w:rPr>
        <w:t>.</w:t>
      </w:r>
      <w:r w:rsidR="00387B35" w:rsidRPr="00A84443">
        <w:rPr>
          <w:spacing w:val="-17"/>
          <w:lang w:val="sr-Latn-RS"/>
        </w:rPr>
        <w:t xml:space="preserve"> </w:t>
      </w:r>
      <w:r w:rsidRPr="00A84443">
        <w:rPr>
          <w:lang w:val="sr-Latn-RS"/>
        </w:rPr>
        <w:t>Značajna ograničavanja</w:t>
      </w:r>
      <w:r w:rsidRPr="00A84443">
        <w:rPr>
          <w:spacing w:val="-17"/>
          <w:lang w:val="sr-Latn-RS"/>
        </w:rPr>
        <w:t xml:space="preserve"> </w:t>
      </w:r>
      <w:r w:rsidRPr="00A84443">
        <w:rPr>
          <w:lang w:val="sr-Latn-RS"/>
        </w:rPr>
        <w:t>uobičajenih društvenih aktivnosti, uključujući i pristup javnim m</w:t>
      </w:r>
      <w:r w:rsidR="00564CD5">
        <w:rPr>
          <w:lang w:val="sr-Latn-RS"/>
        </w:rPr>
        <w:t>j</w:t>
      </w:r>
      <w:r w:rsidRPr="00A84443">
        <w:rPr>
          <w:lang w:val="sr-Latn-RS"/>
        </w:rPr>
        <w:t>estima v</w:t>
      </w:r>
      <w:r w:rsidR="00564CD5">
        <w:rPr>
          <w:lang w:val="sr-Latn-RS"/>
        </w:rPr>
        <w:t>j</w:t>
      </w:r>
      <w:r w:rsidRPr="00A84443">
        <w:rPr>
          <w:lang w:val="sr-Latn-RS"/>
        </w:rPr>
        <w:t>ersk</w:t>
      </w:r>
      <w:r w:rsidR="00564CD5">
        <w:rPr>
          <w:lang w:val="sr-Latn-RS"/>
        </w:rPr>
        <w:t>im</w:t>
      </w:r>
      <w:r w:rsidRPr="00A84443">
        <w:rPr>
          <w:lang w:val="sr-Latn-RS"/>
        </w:rPr>
        <w:t xml:space="preserve"> služb</w:t>
      </w:r>
      <w:r w:rsidR="00564CD5">
        <w:rPr>
          <w:lang w:val="sr-Latn-RS"/>
        </w:rPr>
        <w:t>ama</w:t>
      </w:r>
      <w:r w:rsidRPr="00A84443">
        <w:rPr>
          <w:lang w:val="sr-Latn-RS"/>
        </w:rPr>
        <w:t>, javni</w:t>
      </w:r>
      <w:r w:rsidR="00564CD5">
        <w:rPr>
          <w:lang w:val="sr-Latn-RS"/>
        </w:rPr>
        <w:t>m</w:t>
      </w:r>
      <w:r w:rsidRPr="00A84443">
        <w:rPr>
          <w:lang w:val="sr-Latn-RS"/>
        </w:rPr>
        <w:t xml:space="preserve"> okupljanj</w:t>
      </w:r>
      <w:r w:rsidR="00564CD5">
        <w:rPr>
          <w:lang w:val="sr-Latn-RS"/>
        </w:rPr>
        <w:t>ima</w:t>
      </w:r>
      <w:r w:rsidRPr="00A84443">
        <w:rPr>
          <w:lang w:val="sr-Latn-RS"/>
        </w:rPr>
        <w:t xml:space="preserve"> i ceremonijama v</w:t>
      </w:r>
      <w:r w:rsidR="00564CD5">
        <w:rPr>
          <w:lang w:val="sr-Latn-RS"/>
        </w:rPr>
        <w:t>j</w:t>
      </w:r>
      <w:r w:rsidRPr="00A84443">
        <w:rPr>
          <w:lang w:val="sr-Latn-RS"/>
        </w:rPr>
        <w:t>enčanja i sahran</w:t>
      </w:r>
      <w:r w:rsidR="00564CD5">
        <w:rPr>
          <w:lang w:val="sr-Latn-RS"/>
        </w:rPr>
        <w:t>a</w:t>
      </w:r>
      <w:r w:rsidRPr="00A84443">
        <w:rPr>
          <w:lang w:val="sr-Latn-RS"/>
        </w:rPr>
        <w:t>, mogu neizostavno da dovedu do razumnih pritužbi po osnovu pomenutih odredbi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Na organima je da </w:t>
      </w:r>
      <w:r w:rsidR="00A84443" w:rsidRPr="00A84443">
        <w:rPr>
          <w:lang w:val="sr-Latn-RS"/>
        </w:rPr>
        <w:t>obezb</w:t>
      </w:r>
      <w:r w:rsidR="00564CD5">
        <w:rPr>
          <w:lang w:val="sr-Latn-RS"/>
        </w:rPr>
        <w:t>j</w:t>
      </w:r>
      <w:r w:rsidR="00A84443" w:rsidRPr="00A84443">
        <w:rPr>
          <w:lang w:val="sr-Latn-RS"/>
        </w:rPr>
        <w:t>ede</w:t>
      </w:r>
      <w:r w:rsidRPr="00A84443">
        <w:rPr>
          <w:lang w:val="sr-Latn-RS"/>
        </w:rPr>
        <w:t xml:space="preserve"> da svako takvo ograničenje, bez obzira da li je zasnovano na odstupanju ili ne, bude jasno propisano zakonom, u skladu sa relevantnim ustavnim garancijama i srazm</w:t>
      </w:r>
      <w:r w:rsidR="00564CD5">
        <w:rPr>
          <w:lang w:val="sr-Latn-RS"/>
        </w:rPr>
        <w:t>j</w:t>
      </w:r>
      <w:r w:rsidRPr="00A84443">
        <w:rPr>
          <w:lang w:val="sr-Latn-RS"/>
        </w:rPr>
        <w:t>erno cilju koji se želi ostvariti</w:t>
      </w:r>
      <w:r w:rsidR="009E7094">
        <w:rPr>
          <w:rStyle w:val="FootnoteReference"/>
          <w:lang w:val="sr-Latn-RS"/>
        </w:rPr>
        <w:footnoteReference w:id="22"/>
      </w:r>
      <w:r w:rsidR="00387B35" w:rsidRPr="00A84443">
        <w:rPr>
          <w:lang w:val="sr-Latn-RS"/>
        </w:rPr>
        <w:t>.</w:t>
      </w:r>
    </w:p>
    <w:p w14:paraId="797CA4E9" w14:textId="77777777" w:rsidR="00047EA6" w:rsidRPr="00A84443" w:rsidRDefault="00ED01B0">
      <w:pPr>
        <w:pStyle w:val="BodyText"/>
        <w:spacing w:before="7"/>
        <w:rPr>
          <w:sz w:val="21"/>
          <w:lang w:val="sr-Latn-RS"/>
        </w:rPr>
      </w:pPr>
      <w:r w:rsidRPr="00A84443">
        <w:rPr>
          <w:sz w:val="21"/>
          <w:lang w:val="sr-Latn-RS"/>
        </w:rPr>
        <w:t xml:space="preserve">   </w:t>
      </w:r>
    </w:p>
    <w:p w14:paraId="3DCF8272" w14:textId="0DA32A4C" w:rsidR="00047EA6" w:rsidRPr="00A84443" w:rsidRDefault="00ED01B0">
      <w:pPr>
        <w:pStyle w:val="BodyText"/>
        <w:ind w:left="117" w:right="418"/>
        <w:jc w:val="both"/>
        <w:rPr>
          <w:lang w:val="sr-Latn-RS"/>
        </w:rPr>
      </w:pPr>
      <w:r w:rsidRPr="00A84443">
        <w:rPr>
          <w:lang w:val="sr-Latn-RS"/>
        </w:rPr>
        <w:t>Iako povećana ograničenja gore pomenutih prava mogu da budu u potpunosti opravdana u vr</w:t>
      </w:r>
      <w:r w:rsidR="004B68B6">
        <w:rPr>
          <w:lang w:val="sr-Latn-RS"/>
        </w:rPr>
        <w:t>ij</w:t>
      </w:r>
      <w:r w:rsidRPr="00A84443">
        <w:rPr>
          <w:lang w:val="sr-Latn-RS"/>
        </w:rPr>
        <w:t>eme krize, stroge krivične kazne daju povod za zabrinutost i neophodno je da budu podvrgnute str</w:t>
      </w:r>
      <w:r w:rsidR="00534EEC" w:rsidRPr="00A84443">
        <w:rPr>
          <w:lang w:val="sr-Latn-RS"/>
        </w:rPr>
        <w:t>ogoj kontroli</w:t>
      </w:r>
      <w:r w:rsidRPr="00A84443">
        <w:rPr>
          <w:lang w:val="sr-Latn-RS"/>
        </w:rPr>
        <w:t xml:space="preserve">. Ne bi trebalo da izuzetne </w:t>
      </w:r>
      <w:r w:rsidR="00A84443" w:rsidRPr="00A84443">
        <w:rPr>
          <w:lang w:val="sr-Latn-RS"/>
        </w:rPr>
        <w:t>situacije</w:t>
      </w:r>
      <w:r w:rsidRPr="00A84443">
        <w:rPr>
          <w:lang w:val="sr-Latn-RS"/>
        </w:rPr>
        <w:t xml:space="preserve"> dovode do prenaglašavanja krivičnih instrumenata</w:t>
      </w:r>
      <w:r w:rsidR="00387B35" w:rsidRPr="00A84443">
        <w:rPr>
          <w:lang w:val="sr-Latn-RS"/>
        </w:rPr>
        <w:t>.</w:t>
      </w:r>
      <w:r w:rsidR="00387B35" w:rsidRPr="00A84443">
        <w:rPr>
          <w:spacing w:val="-15"/>
          <w:lang w:val="sr-Latn-RS"/>
        </w:rPr>
        <w:t xml:space="preserve"> </w:t>
      </w:r>
      <w:r w:rsidRPr="00A84443">
        <w:rPr>
          <w:lang w:val="sr-Latn-RS"/>
        </w:rPr>
        <w:t>Najprikladniji, ako ne i jedini, način da se postigne usaglašenost sa zaht</w:t>
      </w:r>
      <w:r w:rsidR="004B68B6">
        <w:rPr>
          <w:lang w:val="sr-Latn-RS"/>
        </w:rPr>
        <w:t>j</w:t>
      </w:r>
      <w:r w:rsidRPr="00A84443">
        <w:rPr>
          <w:lang w:val="sr-Latn-RS"/>
        </w:rPr>
        <w:t>evom srazm</w:t>
      </w:r>
      <w:r w:rsidR="004B68B6">
        <w:rPr>
          <w:lang w:val="sr-Latn-RS"/>
        </w:rPr>
        <w:t>j</w:t>
      </w:r>
      <w:r w:rsidRPr="00A84443">
        <w:rPr>
          <w:lang w:val="sr-Latn-RS"/>
        </w:rPr>
        <w:t>ernosti po Konvenciji jeste da se postigne pravična ravnoteža između prinude i prevencije</w:t>
      </w:r>
      <w:r w:rsidR="00387B35" w:rsidRPr="00A84443">
        <w:rPr>
          <w:lang w:val="sr-Latn-RS"/>
        </w:rPr>
        <w:t>.</w:t>
      </w:r>
    </w:p>
    <w:p w14:paraId="5CCC165F" w14:textId="77777777" w:rsidR="00047EA6" w:rsidRPr="00A84443" w:rsidRDefault="00047EA6">
      <w:pPr>
        <w:pStyle w:val="BodyText"/>
        <w:spacing w:before="5"/>
        <w:rPr>
          <w:sz w:val="24"/>
          <w:lang w:val="sr-Latn-RS"/>
        </w:rPr>
      </w:pPr>
    </w:p>
    <w:p w14:paraId="1C8314E1" w14:textId="77777777" w:rsidR="00047EA6" w:rsidRPr="00A84443" w:rsidRDefault="00ED01B0" w:rsidP="00844359">
      <w:pPr>
        <w:pStyle w:val="Heading3"/>
        <w:ind w:left="117" w:right="525" w:firstLine="0"/>
        <w:jc w:val="both"/>
        <w:rPr>
          <w:lang w:val="sr-Latn-RS"/>
        </w:rPr>
      </w:pPr>
      <w:r w:rsidRPr="00A84443">
        <w:rPr>
          <w:lang w:val="sr-Latn-RS"/>
        </w:rPr>
        <w:t>Sloboda izražavanja i informisanja, slobod</w:t>
      </w:r>
      <w:r w:rsidR="00D7203A">
        <w:rPr>
          <w:lang w:val="sr-Latn-RS"/>
        </w:rPr>
        <w:t>a</w:t>
      </w:r>
      <w:r w:rsidRPr="00A84443">
        <w:rPr>
          <w:lang w:val="sr-Latn-RS"/>
        </w:rPr>
        <w:t xml:space="preserve"> medija, pristup zvaničnim informacijama</w:t>
      </w:r>
    </w:p>
    <w:p w14:paraId="6BC4B176" w14:textId="77777777" w:rsidR="00047EA6" w:rsidRPr="00A84443" w:rsidRDefault="00047EA6">
      <w:pPr>
        <w:pStyle w:val="BodyText"/>
        <w:spacing w:before="1"/>
        <w:rPr>
          <w:b/>
          <w:i/>
          <w:sz w:val="24"/>
          <w:lang w:val="sr-Latn-RS"/>
        </w:rPr>
      </w:pPr>
    </w:p>
    <w:p w14:paraId="73D8DEC5" w14:textId="4404F78E" w:rsidR="00047EA6" w:rsidRPr="00A84443" w:rsidRDefault="002319A9">
      <w:pPr>
        <w:pStyle w:val="BodyText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>Sloboda izražavanja, uključujući slobodan i pravovremen protok informacija, je kritičn</w:t>
      </w:r>
      <w:r w:rsidR="00534EEC" w:rsidRPr="00A84443">
        <w:rPr>
          <w:lang w:val="sr-Latn-RS"/>
        </w:rPr>
        <w:t>o važan</w:t>
      </w:r>
      <w:r w:rsidRPr="00A84443">
        <w:rPr>
          <w:lang w:val="sr-Latn-RS"/>
        </w:rPr>
        <w:t xml:space="preserve"> faktor za sposobnost medija da izv</w:t>
      </w:r>
      <w:r w:rsidR="00D51C1D">
        <w:rPr>
          <w:lang w:val="sr-Latn-RS"/>
        </w:rPr>
        <w:t>j</w:t>
      </w:r>
      <w:r w:rsidRPr="00A84443">
        <w:rPr>
          <w:lang w:val="sr-Latn-RS"/>
        </w:rPr>
        <w:t xml:space="preserve">eštavaju o pitanjima u vezi sa pandemijom. </w:t>
      </w:r>
      <w:r w:rsidR="00387B35" w:rsidRPr="00A84443">
        <w:rPr>
          <w:lang w:val="sr-Latn-RS"/>
        </w:rPr>
        <w:t>Medi</w:t>
      </w:r>
      <w:r w:rsidRPr="00A84443">
        <w:rPr>
          <w:lang w:val="sr-Latn-RS"/>
        </w:rPr>
        <w:t xml:space="preserve">ji i </w:t>
      </w:r>
      <w:r w:rsidR="00387B35" w:rsidRPr="00A84443">
        <w:rPr>
          <w:lang w:val="sr-Latn-RS"/>
        </w:rPr>
        <w:t>profesional</w:t>
      </w:r>
      <w:r w:rsidRPr="00A84443">
        <w:rPr>
          <w:lang w:val="sr-Latn-RS"/>
        </w:rPr>
        <w:t>ni novinari, a naročito javni informativni servisi, imaju ključnu ulogu i naročitu odgovornost za obezb</w:t>
      </w:r>
      <w:r w:rsidR="00D0058C">
        <w:rPr>
          <w:lang w:val="sr-Latn-RS"/>
        </w:rPr>
        <w:t>j</w:t>
      </w:r>
      <w:r w:rsidRPr="00A84443">
        <w:rPr>
          <w:lang w:val="sr-Latn-RS"/>
        </w:rPr>
        <w:t>eđivanje pravovremenih, tačnih i pouzdanih informacija javnosti, ali i za sprečavanje panike i ostvarenja saradnje javnosti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Neophodno je da se oni pridržavaju najviših </w:t>
      </w:r>
      <w:r w:rsidR="00387B35" w:rsidRPr="00A84443">
        <w:rPr>
          <w:lang w:val="sr-Latn-RS"/>
        </w:rPr>
        <w:t>profesional</w:t>
      </w:r>
      <w:r w:rsidRPr="00A84443">
        <w:rPr>
          <w:lang w:val="sr-Latn-RS"/>
        </w:rPr>
        <w:t>nih i etičkih standarda odgovornog novinarstva i na taj način prenose autoritativne poruke u vezi sa krizom i da se uzdrže od objavljivanja ili naduvavanja neprov</w:t>
      </w:r>
      <w:r w:rsidR="00D0058C">
        <w:rPr>
          <w:lang w:val="sr-Latn-RS"/>
        </w:rPr>
        <w:t>j</w:t>
      </w:r>
      <w:r w:rsidRPr="00A84443">
        <w:rPr>
          <w:lang w:val="sr-Latn-RS"/>
        </w:rPr>
        <w:t>erenih priča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da ne pominjemo neuv</w:t>
      </w:r>
      <w:r w:rsidR="00D0058C">
        <w:rPr>
          <w:lang w:val="sr-Latn-RS"/>
        </w:rPr>
        <w:t>j</w:t>
      </w:r>
      <w:r w:rsidRPr="00A84443">
        <w:rPr>
          <w:lang w:val="sr-Latn-RS"/>
        </w:rPr>
        <w:t>erljivih i senzacionalističkih materijala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Posebne okolnosti mogu da primoraju odgovorne novinare da se uzdrže od </w:t>
      </w:r>
      <w:r w:rsidR="00875E60" w:rsidRPr="00A84443">
        <w:rPr>
          <w:lang w:val="sr-Latn-RS"/>
        </w:rPr>
        <w:t>objavljivanja informacija u pos</w:t>
      </w:r>
      <w:r w:rsidR="00D0058C">
        <w:rPr>
          <w:lang w:val="sr-Latn-RS"/>
        </w:rPr>
        <w:t>j</w:t>
      </w:r>
      <w:r w:rsidR="00875E60" w:rsidRPr="00A84443">
        <w:rPr>
          <w:lang w:val="sr-Latn-RS"/>
        </w:rPr>
        <w:t>edu vlade koje su nam</w:t>
      </w:r>
      <w:r w:rsidR="00D0058C">
        <w:rPr>
          <w:lang w:val="sr-Latn-RS"/>
        </w:rPr>
        <w:t>j</w:t>
      </w:r>
      <w:r w:rsidR="00875E60" w:rsidRPr="00A84443">
        <w:rPr>
          <w:lang w:val="sr-Latn-RS"/>
        </w:rPr>
        <w:t xml:space="preserve">enjene za ograničenu upotrebu </w:t>
      </w:r>
      <w:r w:rsidR="00387B35" w:rsidRPr="00A84443">
        <w:rPr>
          <w:lang w:val="sr-Latn-RS"/>
        </w:rPr>
        <w:t xml:space="preserve">– </w:t>
      </w:r>
      <w:r w:rsidR="00875E60" w:rsidRPr="00A84443">
        <w:rPr>
          <w:lang w:val="sr-Latn-RS"/>
        </w:rPr>
        <w:t>kao što su, na prim</w:t>
      </w:r>
      <w:r w:rsidR="00D0058C">
        <w:rPr>
          <w:lang w:val="sr-Latn-RS"/>
        </w:rPr>
        <w:t>ij</w:t>
      </w:r>
      <w:r w:rsidR="00875E60" w:rsidRPr="00A84443">
        <w:rPr>
          <w:lang w:val="sr-Latn-RS"/>
        </w:rPr>
        <w:t xml:space="preserve">er, </w:t>
      </w:r>
      <w:r w:rsidR="00387B35" w:rsidRPr="00A84443">
        <w:rPr>
          <w:lang w:val="sr-Latn-RS"/>
        </w:rPr>
        <w:t>informa</w:t>
      </w:r>
      <w:r w:rsidR="00875E60" w:rsidRPr="00A84443">
        <w:rPr>
          <w:lang w:val="sr-Latn-RS"/>
        </w:rPr>
        <w:t>cije o budućim m</w:t>
      </w:r>
      <w:r w:rsidR="00D0058C">
        <w:rPr>
          <w:lang w:val="sr-Latn-RS"/>
        </w:rPr>
        <w:t>j</w:t>
      </w:r>
      <w:r w:rsidR="00875E60" w:rsidRPr="00A84443">
        <w:rPr>
          <w:lang w:val="sr-Latn-RS"/>
        </w:rPr>
        <w:t>erama za sprovođenje strožije politike izolacije</w:t>
      </w:r>
      <w:r w:rsidR="009E7094">
        <w:rPr>
          <w:rStyle w:val="FootnoteReference"/>
          <w:lang w:val="sr-Latn-RS"/>
        </w:rPr>
        <w:footnoteReference w:id="23"/>
      </w:r>
      <w:r w:rsidR="00387B35" w:rsidRPr="00A84443">
        <w:rPr>
          <w:lang w:val="sr-Latn-RS"/>
        </w:rPr>
        <w:t>.</w:t>
      </w:r>
    </w:p>
    <w:p w14:paraId="61E722C7" w14:textId="77777777" w:rsidR="00047EA6" w:rsidRPr="00A84443" w:rsidRDefault="00047EA6">
      <w:pPr>
        <w:pStyle w:val="BodyText"/>
        <w:rPr>
          <w:sz w:val="20"/>
          <w:lang w:val="sr-Latn-RS"/>
        </w:rPr>
      </w:pPr>
    </w:p>
    <w:p w14:paraId="7B2E05D4" w14:textId="065A735C" w:rsidR="00047EA6" w:rsidRPr="00A84443" w:rsidRDefault="00E66184">
      <w:pPr>
        <w:pStyle w:val="BodyText"/>
        <w:spacing w:before="94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lastRenderedPageBreak/>
        <w:t xml:space="preserve">Pristup javnosti zvaničnim informacijama mora </w:t>
      </w:r>
      <w:r w:rsidR="00534EEC" w:rsidRPr="00A84443">
        <w:rPr>
          <w:lang w:val="sr-Latn-RS"/>
        </w:rPr>
        <w:t xml:space="preserve">da bude </w:t>
      </w:r>
      <w:r w:rsidRPr="00A84443">
        <w:rPr>
          <w:lang w:val="sr-Latn-RS"/>
        </w:rPr>
        <w:t>orga</w:t>
      </w:r>
      <w:r w:rsidR="00534EEC" w:rsidRPr="00A84443">
        <w:rPr>
          <w:lang w:val="sr-Latn-RS"/>
        </w:rPr>
        <w:t>n</w:t>
      </w:r>
      <w:r w:rsidRPr="00A84443">
        <w:rPr>
          <w:lang w:val="sr-Latn-RS"/>
        </w:rPr>
        <w:t>izova</w:t>
      </w:r>
      <w:r w:rsidR="00534EEC" w:rsidRPr="00A84443">
        <w:rPr>
          <w:lang w:val="sr-Latn-RS"/>
        </w:rPr>
        <w:t xml:space="preserve">n </w:t>
      </w:r>
      <w:r w:rsidRPr="00A84443">
        <w:rPr>
          <w:lang w:val="sr-Latn-RS"/>
        </w:rPr>
        <w:t>na osnovu postojećih načela uspostavljenih kroz sudsku praksu Suda</w:t>
      </w:r>
      <w:r w:rsidR="00D51C1D">
        <w:rPr>
          <w:lang w:val="sr-Latn-RS"/>
        </w:rPr>
        <w:t>.</w:t>
      </w:r>
      <w:r w:rsidR="009E7094">
        <w:rPr>
          <w:rStyle w:val="FootnoteReference"/>
          <w:lang w:val="sr-Latn-RS"/>
        </w:rPr>
        <w:footnoteReference w:id="24"/>
      </w:r>
      <w:r w:rsidR="00387B35" w:rsidRPr="00A84443">
        <w:rPr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>Bilo kakvo ograničenje pristupa zvaničnim informacijama mora da predstavlja izuzetak i mora da bude srazm</w:t>
      </w:r>
      <w:r w:rsidR="00D51C1D">
        <w:rPr>
          <w:lang w:val="sr-Latn-RS"/>
        </w:rPr>
        <w:t>j</w:t>
      </w:r>
      <w:r w:rsidRPr="00A84443">
        <w:rPr>
          <w:lang w:val="sr-Latn-RS"/>
        </w:rPr>
        <w:t>erno cilju zaštite javnog zdravlja</w:t>
      </w:r>
      <w:r w:rsidR="00387B35" w:rsidRPr="00A84443">
        <w:rPr>
          <w:lang w:val="sr-Latn-RS"/>
        </w:rPr>
        <w:t xml:space="preserve">. </w:t>
      </w:r>
      <w:hyperlink r:id="rId15" w:history="1">
        <w:r w:rsidRPr="00186AC0">
          <w:rPr>
            <w:rStyle w:val="Hyperlink"/>
            <w:lang w:val="sr-Latn-RS"/>
          </w:rPr>
          <w:t xml:space="preserve"> K</w:t>
        </w:r>
        <w:r w:rsidR="00387B35" w:rsidRPr="00186AC0">
          <w:rPr>
            <w:rStyle w:val="Hyperlink"/>
            <w:lang w:val="sr-Latn-RS"/>
          </w:rPr>
          <w:t>onven</w:t>
        </w:r>
        <w:r w:rsidRPr="00186AC0">
          <w:rPr>
            <w:rStyle w:val="Hyperlink"/>
            <w:lang w:val="sr-Latn-RS"/>
          </w:rPr>
          <w:t>cija o pristupu zvaničnim dokumentima</w:t>
        </w:r>
      </w:hyperlink>
      <w:r w:rsidRPr="00A84443">
        <w:rPr>
          <w:color w:val="315397"/>
          <w:lang w:val="sr-Latn-RS"/>
        </w:rPr>
        <w:t xml:space="preserve"> (Tromso</w:t>
      </w:r>
      <w:r w:rsidRPr="00A84443">
        <w:rPr>
          <w:lang w:val="sr-Latn-RS"/>
        </w:rPr>
        <w:t xml:space="preserve"> </w:t>
      </w:r>
      <w:r w:rsidR="00CB5511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cija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 xml:space="preserve">podvlači potrebu za </w:t>
      </w:r>
      <w:r w:rsidR="00387B35" w:rsidRPr="00A84443">
        <w:rPr>
          <w:lang w:val="sr-Latn-RS"/>
        </w:rPr>
        <w:t>transparen</w:t>
      </w:r>
      <w:r w:rsidRPr="00A84443">
        <w:rPr>
          <w:lang w:val="sr-Latn-RS"/>
        </w:rPr>
        <w:t>tno</w:t>
      </w:r>
      <w:r w:rsidR="00534EEC" w:rsidRPr="00A84443">
        <w:rPr>
          <w:lang w:val="sr-Latn-RS"/>
        </w:rPr>
        <w:t>š</w:t>
      </w:r>
      <w:r w:rsidRPr="00A84443">
        <w:rPr>
          <w:lang w:val="sr-Latn-RS"/>
        </w:rPr>
        <w:t>ću i navodi da, po sopstvenoj inicijativi i gd</w:t>
      </w:r>
      <w:r w:rsidR="00D51C1D">
        <w:rPr>
          <w:lang w:val="sr-Latn-RS"/>
        </w:rPr>
        <w:t>j</w:t>
      </w:r>
      <w:r w:rsidRPr="00A84443">
        <w:rPr>
          <w:lang w:val="sr-Latn-RS"/>
        </w:rPr>
        <w:t>e smatra da je to prim</w:t>
      </w:r>
      <w:r w:rsidR="00D51C1D">
        <w:rPr>
          <w:lang w:val="sr-Latn-RS"/>
        </w:rPr>
        <w:t>j</w:t>
      </w:r>
      <w:r w:rsidRPr="00A84443">
        <w:rPr>
          <w:lang w:val="sr-Latn-RS"/>
        </w:rPr>
        <w:t>ereno, organ vlasti će preduzeti neophodne m</w:t>
      </w:r>
      <w:r w:rsidR="00D51C1D">
        <w:rPr>
          <w:lang w:val="sr-Latn-RS"/>
        </w:rPr>
        <w:t>j</w:t>
      </w:r>
      <w:r w:rsidRPr="00A84443">
        <w:rPr>
          <w:lang w:val="sr-Latn-RS"/>
        </w:rPr>
        <w:t xml:space="preserve">ere da zvanična dokumenta </w:t>
      </w:r>
      <w:r w:rsidR="00D51C1D" w:rsidRPr="00A84443">
        <w:rPr>
          <w:lang w:val="sr-Latn-RS"/>
        </w:rPr>
        <w:t xml:space="preserve">učini javno dostupnim </w:t>
      </w:r>
      <w:r w:rsidRPr="00A84443">
        <w:rPr>
          <w:lang w:val="sr-Latn-RS"/>
        </w:rPr>
        <w:t>radi podsticanja informisanog učešća javnosti u pitanjima od opšteg interesa</w:t>
      </w:r>
      <w:r w:rsidR="00387B35" w:rsidRPr="00A84443">
        <w:rPr>
          <w:lang w:val="sr-Latn-RS"/>
        </w:rPr>
        <w:t>.</w:t>
      </w:r>
    </w:p>
    <w:p w14:paraId="2FA2988B" w14:textId="77777777" w:rsidR="00047EA6" w:rsidRPr="00A84443" w:rsidRDefault="00047EA6">
      <w:pPr>
        <w:pStyle w:val="BodyText"/>
        <w:spacing w:before="8"/>
        <w:rPr>
          <w:sz w:val="21"/>
          <w:lang w:val="sr-Latn-RS"/>
        </w:rPr>
      </w:pPr>
    </w:p>
    <w:p w14:paraId="0BC2D029" w14:textId="007F2389" w:rsidR="00047EA6" w:rsidRPr="00A84443" w:rsidRDefault="00E66184" w:rsidP="009E7094">
      <w:pPr>
        <w:pStyle w:val="BodyText"/>
        <w:spacing w:before="1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Istovremeno, zvanična saopštenja ne mogu da budu jedini kanal informisanja o pandemiji</w:t>
      </w:r>
      <w:r w:rsidR="00387B35" w:rsidRPr="00A84443">
        <w:rPr>
          <w:lang w:val="sr-Latn-RS"/>
        </w:rPr>
        <w:t>.</w:t>
      </w:r>
      <w:r w:rsidR="00387B35" w:rsidRPr="00A84443">
        <w:rPr>
          <w:spacing w:val="-13"/>
          <w:lang w:val="sr-Latn-RS"/>
        </w:rPr>
        <w:t xml:space="preserve"> </w:t>
      </w:r>
      <w:r w:rsidR="00387B35" w:rsidRPr="00A84443">
        <w:rPr>
          <w:lang w:val="sr-Latn-RS"/>
        </w:rPr>
        <w:t>T</w:t>
      </w:r>
      <w:r w:rsidRPr="00A84443">
        <w:rPr>
          <w:lang w:val="sr-Latn-RS"/>
        </w:rPr>
        <w:t>o bi dovelo do cenzure i gušenja legitimnih zabrinutosti</w:t>
      </w:r>
      <w:r w:rsidR="00387B35" w:rsidRPr="00A84443">
        <w:rPr>
          <w:lang w:val="sr-Latn-RS"/>
        </w:rPr>
        <w:t>.</w:t>
      </w:r>
      <w:r w:rsidR="00387B35" w:rsidRPr="00A84443">
        <w:rPr>
          <w:spacing w:val="-14"/>
          <w:lang w:val="sr-Latn-RS"/>
        </w:rPr>
        <w:t xml:space="preserve"> </w:t>
      </w:r>
      <w:r w:rsidRPr="00A84443">
        <w:rPr>
          <w:lang w:val="sr-Latn-RS"/>
        </w:rPr>
        <w:t>Neophodno je da n</w:t>
      </w:r>
      <w:r w:rsidR="00387B35" w:rsidRPr="00A84443">
        <w:rPr>
          <w:lang w:val="sr-Latn-RS"/>
        </w:rPr>
        <w:t>o</w:t>
      </w:r>
      <w:r w:rsidRPr="00A84443">
        <w:rPr>
          <w:lang w:val="sr-Latn-RS"/>
        </w:rPr>
        <w:t>vinari, mediji, medijski profesionalci, aktivisti civilnog društva i opšta javnost budu u mogućnosti da kritikuju organe vlasti i razmatraju njihov odgovor na krizu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Svako unapr</w:t>
      </w:r>
      <w:r w:rsidR="00D51C1D">
        <w:rPr>
          <w:lang w:val="sr-Latn-RS"/>
        </w:rPr>
        <w:t>ij</w:t>
      </w:r>
      <w:r w:rsidRPr="00A84443">
        <w:rPr>
          <w:lang w:val="sr-Latn-RS"/>
        </w:rPr>
        <w:t xml:space="preserve">ed uvedeno ograničenje u odnosu na određene teme, zatvaranje medijskih kuća ili direktno blokiranje pristupa platformama za </w:t>
      </w:r>
      <w:r w:rsidR="00387B35" w:rsidRPr="00A84443">
        <w:rPr>
          <w:lang w:val="sr-Latn-RS"/>
        </w:rPr>
        <w:t xml:space="preserve">on-line </w:t>
      </w:r>
      <w:r w:rsidRPr="00A84443">
        <w:rPr>
          <w:lang w:val="sr-Latn-RS"/>
        </w:rPr>
        <w:t>komunikaciju</w:t>
      </w:r>
      <w:r w:rsidR="00FB117A" w:rsidRPr="00A84443">
        <w:rPr>
          <w:lang w:val="sr-Latn-RS"/>
        </w:rPr>
        <w:t xml:space="preserve"> zaht</w:t>
      </w:r>
      <w:r w:rsidR="00D51C1D">
        <w:rPr>
          <w:lang w:val="sr-Latn-RS"/>
        </w:rPr>
        <w:t>j</w:t>
      </w:r>
      <w:r w:rsidR="00FB117A" w:rsidRPr="00A84443">
        <w:rPr>
          <w:lang w:val="sr-Latn-RS"/>
        </w:rPr>
        <w:t>evaju najveći stepen pažnje u razmatranju i opravdani su isključivo u najizuzetnijim slučajevima</w:t>
      </w:r>
      <w:r w:rsidR="009E7094">
        <w:rPr>
          <w:rStyle w:val="FootnoteReference"/>
          <w:lang w:val="sr-Latn-RS"/>
        </w:rPr>
        <w:footnoteReference w:id="25"/>
      </w:r>
      <w:r w:rsidR="00FB117A" w:rsidRPr="00A84443">
        <w:rPr>
          <w:lang w:val="sr-Latn-RS"/>
        </w:rPr>
        <w:t>. Pandemija ne sm</w:t>
      </w:r>
      <w:r w:rsidR="00D51C1D">
        <w:rPr>
          <w:lang w:val="sr-Latn-RS"/>
        </w:rPr>
        <w:t>ij</w:t>
      </w:r>
      <w:r w:rsidR="00FB117A" w:rsidRPr="00A84443">
        <w:rPr>
          <w:lang w:val="sr-Latn-RS"/>
        </w:rPr>
        <w:t xml:space="preserve">e da se koristi </w:t>
      </w:r>
      <w:r w:rsidR="0057465D" w:rsidRPr="00A84443">
        <w:rPr>
          <w:lang w:val="sr-Latn-RS"/>
        </w:rPr>
        <w:t xml:space="preserve">za </w:t>
      </w:r>
      <w:r w:rsidR="00A84443" w:rsidRPr="00A84443">
        <w:rPr>
          <w:lang w:val="sr-Latn-RS"/>
        </w:rPr>
        <w:t>ućutkivanje</w:t>
      </w:r>
      <w:r w:rsidR="0057465D" w:rsidRPr="00A84443">
        <w:rPr>
          <w:lang w:val="sr-Latn-RS"/>
        </w:rPr>
        <w:t xml:space="preserve"> uzbunjivača</w:t>
      </w:r>
      <w:r w:rsidR="00387B35" w:rsidRPr="00A84443">
        <w:rPr>
          <w:lang w:val="sr-Latn-RS"/>
        </w:rPr>
        <w:t xml:space="preserve"> (</w:t>
      </w:r>
      <w:r w:rsidR="0057465D" w:rsidRPr="00A84443">
        <w:rPr>
          <w:lang w:val="sr-Latn-RS"/>
        </w:rPr>
        <w:t>vid</w:t>
      </w:r>
      <w:r w:rsidR="00D51C1D">
        <w:rPr>
          <w:lang w:val="sr-Latn-RS"/>
        </w:rPr>
        <w:t>j</w:t>
      </w:r>
      <w:r w:rsidR="0057465D" w:rsidRPr="00A84443">
        <w:rPr>
          <w:lang w:val="sr-Latn-RS"/>
        </w:rPr>
        <w:t xml:space="preserve">eti </w:t>
      </w:r>
      <w:hyperlink r:id="rId16">
        <w:r w:rsidR="0057465D" w:rsidRPr="00A84443">
          <w:rPr>
            <w:color w:val="315397"/>
            <w:lang w:val="sr-Latn-RS"/>
          </w:rPr>
          <w:t xml:space="preserve">Preporuku </w:t>
        </w:r>
        <w:r w:rsidR="00834C5B">
          <w:rPr>
            <w:color w:val="315397"/>
            <w:lang w:val="sr-Latn-RS"/>
          </w:rPr>
          <w:t>Komiteta ministara</w:t>
        </w:r>
        <w:r w:rsidR="00387B35" w:rsidRPr="00A84443">
          <w:rPr>
            <w:color w:val="315397"/>
            <w:lang w:val="sr-Latn-RS"/>
          </w:rPr>
          <w:t>(2014)7</w:t>
        </w:r>
      </w:hyperlink>
      <w:r w:rsidR="00387B35" w:rsidRPr="00A84443">
        <w:rPr>
          <w:color w:val="315397"/>
          <w:lang w:val="sr-Latn-RS"/>
        </w:rPr>
        <w:t xml:space="preserve"> </w:t>
      </w:r>
      <w:r w:rsidR="00387B35" w:rsidRPr="00A84443">
        <w:rPr>
          <w:lang w:val="sr-Latn-RS"/>
        </w:rPr>
        <w:t>o</w:t>
      </w:r>
      <w:r w:rsidR="0057465D" w:rsidRPr="00A84443">
        <w:rPr>
          <w:lang w:val="sr-Latn-RS"/>
        </w:rPr>
        <w:t xml:space="preserve"> zaštiti uzbunjivača</w:t>
      </w:r>
      <w:r w:rsidR="00387B35" w:rsidRPr="00A84443">
        <w:rPr>
          <w:lang w:val="sr-Latn-RS"/>
        </w:rPr>
        <w:t>)</w:t>
      </w:r>
      <w:r w:rsidR="00720C0F">
        <w:rPr>
          <w:rStyle w:val="FootnoteReference"/>
          <w:lang w:val="sr-Latn-RS"/>
        </w:rPr>
        <w:footnoteReference w:id="26"/>
      </w:r>
      <w:r w:rsidR="00720C0F">
        <w:rPr>
          <w:lang w:val="sr-Latn-RS"/>
        </w:rPr>
        <w:t xml:space="preserve">, ili </w:t>
      </w:r>
      <w:r w:rsidR="0057465D" w:rsidRPr="00A84443">
        <w:rPr>
          <w:lang w:val="sr-Latn-RS"/>
        </w:rPr>
        <w:t>političkih oponenata</w:t>
      </w:r>
      <w:r w:rsidR="00720C0F">
        <w:rPr>
          <w:rStyle w:val="FootnoteReference"/>
          <w:lang w:val="sr-Latn-RS"/>
        </w:rPr>
        <w:footnoteReference w:id="27"/>
      </w:r>
      <w:r w:rsidR="00387B35" w:rsidRPr="00A84443">
        <w:rPr>
          <w:lang w:val="sr-Latn-RS"/>
        </w:rPr>
        <w:t>.</w:t>
      </w:r>
      <w:r w:rsidR="00387B35" w:rsidRPr="00A84443">
        <w:rPr>
          <w:spacing w:val="6"/>
          <w:position w:val="8"/>
          <w:sz w:val="14"/>
          <w:lang w:val="sr-Latn-RS"/>
        </w:rPr>
        <w:t xml:space="preserve"> </w:t>
      </w:r>
      <w:r w:rsidR="0057465D" w:rsidRPr="00A84443">
        <w:rPr>
          <w:lang w:val="sr-Latn-RS"/>
        </w:rPr>
        <w:t>Na zlonam</w:t>
      </w:r>
      <w:r w:rsidR="00D51C1D">
        <w:rPr>
          <w:lang w:val="sr-Latn-RS"/>
        </w:rPr>
        <w:t>j</w:t>
      </w:r>
      <w:r w:rsidR="0057465D" w:rsidRPr="00A84443">
        <w:rPr>
          <w:lang w:val="sr-Latn-RS"/>
        </w:rPr>
        <w:t xml:space="preserve">erno širenje dezinformacija može da se odgovori </w:t>
      </w:r>
      <w:r w:rsidR="00387B35" w:rsidRPr="00A84443">
        <w:rPr>
          <w:i/>
          <w:lang w:val="sr-Latn-RS"/>
        </w:rPr>
        <w:t xml:space="preserve">ex post </w:t>
      </w:r>
      <w:r w:rsidR="00387B35" w:rsidRPr="00A84443">
        <w:rPr>
          <w:lang w:val="sr-Latn-RS"/>
        </w:rPr>
        <w:t>san</w:t>
      </w:r>
      <w:r w:rsidR="0057465D" w:rsidRPr="00A84443">
        <w:rPr>
          <w:lang w:val="sr-Latn-RS"/>
        </w:rPr>
        <w:t>k</w:t>
      </w:r>
      <w:r w:rsidR="00387B35" w:rsidRPr="00A84443">
        <w:rPr>
          <w:lang w:val="sr-Latn-RS"/>
        </w:rPr>
        <w:t>c</w:t>
      </w:r>
      <w:r w:rsidR="0057465D" w:rsidRPr="00A84443">
        <w:rPr>
          <w:lang w:val="sr-Latn-RS"/>
        </w:rPr>
        <w:t>ijama i informativnim kampanjama vlade</w:t>
      </w:r>
      <w:r w:rsidR="00387B35" w:rsidRPr="00A84443">
        <w:rPr>
          <w:lang w:val="sr-Latn-RS"/>
        </w:rPr>
        <w:t xml:space="preserve">. </w:t>
      </w:r>
      <w:r w:rsidR="0057465D" w:rsidRPr="00A84443">
        <w:rPr>
          <w:lang w:val="sr-Latn-RS"/>
        </w:rPr>
        <w:t xml:space="preserve">Potrebno je da države sarađuju sa </w:t>
      </w:r>
      <w:r w:rsidR="00387B35" w:rsidRPr="00A84443">
        <w:rPr>
          <w:lang w:val="sr-Latn-RS"/>
        </w:rPr>
        <w:t>online platform</w:t>
      </w:r>
      <w:r w:rsidR="0057465D" w:rsidRPr="00A84443">
        <w:rPr>
          <w:lang w:val="sr-Latn-RS"/>
        </w:rPr>
        <w:t>ama i medijima radi sprečavanja manipulisanja javnim mn</w:t>
      </w:r>
      <w:r w:rsidR="00D51C1D">
        <w:rPr>
          <w:lang w:val="sr-Latn-RS"/>
        </w:rPr>
        <w:t>ij</w:t>
      </w:r>
      <w:r w:rsidR="0057465D" w:rsidRPr="00A84443">
        <w:rPr>
          <w:lang w:val="sr-Latn-RS"/>
        </w:rPr>
        <w:t>enjem</w:t>
      </w:r>
      <w:r w:rsidR="00387B35" w:rsidRPr="00A84443">
        <w:rPr>
          <w:lang w:val="sr-Latn-RS"/>
        </w:rPr>
        <w:t xml:space="preserve">, </w:t>
      </w:r>
      <w:r w:rsidR="0057465D" w:rsidRPr="00A84443">
        <w:rPr>
          <w:lang w:val="sr-Latn-RS"/>
        </w:rPr>
        <w:t>kao i radi davanja većeg značaja izvorima v</w:t>
      </w:r>
      <w:r w:rsidR="00D51C1D">
        <w:rPr>
          <w:lang w:val="sr-Latn-RS"/>
        </w:rPr>
        <w:t>ij</w:t>
      </w:r>
      <w:r w:rsidR="0057465D" w:rsidRPr="00A84443">
        <w:rPr>
          <w:lang w:val="sr-Latn-RS"/>
        </w:rPr>
        <w:t>esti i informacija koji generalno uživaju pov</w:t>
      </w:r>
      <w:r w:rsidR="00D51C1D">
        <w:rPr>
          <w:lang w:val="sr-Latn-RS"/>
        </w:rPr>
        <w:t>j</w:t>
      </w:r>
      <w:r w:rsidR="0057465D" w:rsidRPr="00A84443">
        <w:rPr>
          <w:lang w:val="sr-Latn-RS"/>
        </w:rPr>
        <w:t>erenje</w:t>
      </w:r>
      <w:r w:rsidR="00387B35" w:rsidRPr="00A84443">
        <w:rPr>
          <w:lang w:val="sr-Latn-RS"/>
        </w:rPr>
        <w:t>, n</w:t>
      </w:r>
      <w:r w:rsidR="0057465D" w:rsidRPr="00A84443">
        <w:rPr>
          <w:lang w:val="sr-Latn-RS"/>
        </w:rPr>
        <w:t>aročito onih koje izdaju organi javnog zdravlja</w:t>
      </w:r>
      <w:r w:rsidR="00387B35" w:rsidRPr="00A84443">
        <w:rPr>
          <w:lang w:val="sr-Latn-RS"/>
        </w:rPr>
        <w:t>.</w:t>
      </w:r>
    </w:p>
    <w:p w14:paraId="4BB86932" w14:textId="77777777" w:rsidR="00047EA6" w:rsidRPr="00A84443" w:rsidRDefault="00047EA6">
      <w:pPr>
        <w:pStyle w:val="BodyText"/>
        <w:spacing w:before="1"/>
        <w:rPr>
          <w:sz w:val="21"/>
          <w:lang w:val="sr-Latn-RS"/>
        </w:rPr>
      </w:pPr>
    </w:p>
    <w:p w14:paraId="7CA874C2" w14:textId="77777777" w:rsidR="00047EA6" w:rsidRPr="00A84443" w:rsidRDefault="00387B35">
      <w:pPr>
        <w:pStyle w:val="Heading3"/>
        <w:ind w:left="117" w:firstLine="0"/>
        <w:jc w:val="both"/>
        <w:rPr>
          <w:lang w:val="sr-Latn-RS"/>
        </w:rPr>
      </w:pPr>
      <w:r w:rsidRPr="00A84443">
        <w:rPr>
          <w:lang w:val="sr-Latn-RS"/>
        </w:rPr>
        <w:t>P</w:t>
      </w:r>
      <w:r w:rsidR="0057465D" w:rsidRPr="00A84443">
        <w:rPr>
          <w:lang w:val="sr-Latn-RS"/>
        </w:rPr>
        <w:t>oštovanje privatnog života i zaštita podataka</w:t>
      </w:r>
    </w:p>
    <w:p w14:paraId="65942F42" w14:textId="77777777" w:rsidR="00047EA6" w:rsidRPr="00A84443" w:rsidRDefault="00047EA6">
      <w:pPr>
        <w:pStyle w:val="BodyText"/>
        <w:rPr>
          <w:b/>
          <w:i/>
          <w:lang w:val="sr-Latn-RS"/>
        </w:rPr>
      </w:pPr>
    </w:p>
    <w:p w14:paraId="00E5EFB1" w14:textId="6490CDA3" w:rsidR="00047EA6" w:rsidRPr="00A84443" w:rsidRDefault="0057465D">
      <w:pPr>
        <w:pStyle w:val="BodyText"/>
        <w:spacing w:before="1"/>
        <w:ind w:left="117" w:right="414"/>
        <w:jc w:val="both"/>
        <w:rPr>
          <w:lang w:val="sr-Latn-RS"/>
        </w:rPr>
      </w:pPr>
      <w:r w:rsidRPr="00A84443">
        <w:rPr>
          <w:lang w:val="sr-Latn-RS"/>
        </w:rPr>
        <w:t xml:space="preserve">Nove tehnologije za pristup ličnim podacima i njihovu obradu nose </w:t>
      </w:r>
      <w:r w:rsidR="00720C0F">
        <w:rPr>
          <w:lang w:val="sr-Latn-RS"/>
        </w:rPr>
        <w:t xml:space="preserve">sa </w:t>
      </w:r>
      <w:r w:rsidRPr="00A84443">
        <w:rPr>
          <w:lang w:val="sr-Latn-RS"/>
        </w:rPr>
        <w:t>sobom potencijal da ograniče širenje i doprinesu gašenju pandemije</w:t>
      </w:r>
      <w:r w:rsidR="00387B35" w:rsidRPr="00A84443">
        <w:rPr>
          <w:lang w:val="sr-Latn-RS"/>
        </w:rPr>
        <w:t xml:space="preserve">. Monitoring, </w:t>
      </w:r>
      <w:r w:rsidRPr="00A84443">
        <w:rPr>
          <w:lang w:val="sr-Latn-RS"/>
        </w:rPr>
        <w:t>praćenje, i a</w:t>
      </w:r>
      <w:r w:rsidR="00387B35" w:rsidRPr="00A84443">
        <w:rPr>
          <w:lang w:val="sr-Latn-RS"/>
        </w:rPr>
        <w:t>nticipa</w:t>
      </w:r>
      <w:r w:rsidRPr="00A84443">
        <w:rPr>
          <w:lang w:val="sr-Latn-RS"/>
        </w:rPr>
        <w:t>cija su ključni koraci u epidemijskom nadzoru</w:t>
      </w:r>
      <w:r w:rsidR="00387B35" w:rsidRPr="00A84443">
        <w:rPr>
          <w:lang w:val="sr-Latn-RS"/>
        </w:rPr>
        <w:t xml:space="preserve">. </w:t>
      </w:r>
      <w:r w:rsidR="00534EEC" w:rsidRPr="00A84443">
        <w:rPr>
          <w:lang w:val="sr-Latn-RS"/>
        </w:rPr>
        <w:t>M</w:t>
      </w:r>
      <w:r w:rsidRPr="00A84443">
        <w:rPr>
          <w:lang w:val="sr-Latn-RS"/>
        </w:rPr>
        <w:t>ultiplikaciju i širok</w:t>
      </w:r>
      <w:r w:rsidR="00534EEC" w:rsidRPr="00A84443">
        <w:rPr>
          <w:lang w:val="sr-Latn-RS"/>
        </w:rPr>
        <w:t>a</w:t>
      </w:r>
      <w:r w:rsidRPr="00A84443">
        <w:rPr>
          <w:lang w:val="sr-Latn-RS"/>
        </w:rPr>
        <w:t xml:space="preserve"> dostupnost raspoloživih visoko razvijenih digitalnih tehnologija i alata </w:t>
      </w:r>
      <w:r w:rsidR="00387B35" w:rsidRPr="00A84443">
        <w:rPr>
          <w:lang w:val="sr-Latn-RS"/>
        </w:rPr>
        <w:t>(geolo</w:t>
      </w:r>
      <w:r w:rsidRPr="00A84443">
        <w:rPr>
          <w:lang w:val="sr-Latn-RS"/>
        </w:rPr>
        <w:t>kacijski podaci, v</w:t>
      </w:r>
      <w:r w:rsidR="00C13008">
        <w:rPr>
          <w:lang w:val="sr-Latn-RS"/>
        </w:rPr>
        <w:t>j</w:t>
      </w:r>
      <w:r w:rsidRPr="00A84443">
        <w:rPr>
          <w:lang w:val="sr-Latn-RS"/>
        </w:rPr>
        <w:t>eštačka inteligencija, prepoznavanje lica, društvene mreže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>mogu da olakšaju takav pandemijski nadzor</w:t>
      </w:r>
      <w:r w:rsidR="00387B35" w:rsidRPr="00A84443">
        <w:rPr>
          <w:lang w:val="sr-Latn-RS"/>
        </w:rPr>
        <w:t>.</w:t>
      </w:r>
    </w:p>
    <w:p w14:paraId="1028FE52" w14:textId="77777777" w:rsidR="00047EA6" w:rsidRPr="00A84443" w:rsidRDefault="00047EA6">
      <w:pPr>
        <w:pStyle w:val="BodyText"/>
        <w:spacing w:before="10"/>
        <w:rPr>
          <w:sz w:val="21"/>
          <w:lang w:val="sr-Latn-RS"/>
        </w:rPr>
      </w:pPr>
    </w:p>
    <w:p w14:paraId="0FB138EE" w14:textId="05864076" w:rsidR="00047EA6" w:rsidRDefault="0057465D">
      <w:pPr>
        <w:pStyle w:val="BodyText"/>
        <w:ind w:left="117" w:right="414"/>
        <w:jc w:val="both"/>
        <w:rPr>
          <w:lang w:val="sr-Latn-RS"/>
        </w:rPr>
      </w:pPr>
      <w:r w:rsidRPr="00A84443">
        <w:rPr>
          <w:lang w:val="sr-Latn-RS"/>
        </w:rPr>
        <w:t>Istovremeno, potencijal intruzivnosti modernih tehnologija ne sm</w:t>
      </w:r>
      <w:r w:rsidR="00C13008">
        <w:rPr>
          <w:lang w:val="sr-Latn-RS"/>
        </w:rPr>
        <w:t>ij</w:t>
      </w:r>
      <w:r w:rsidRPr="00A84443">
        <w:rPr>
          <w:lang w:val="sr-Latn-RS"/>
        </w:rPr>
        <w:t>e da ostane nekontrolisan i nesrazm</w:t>
      </w:r>
      <w:r w:rsidR="00C13008">
        <w:rPr>
          <w:lang w:val="sr-Latn-RS"/>
        </w:rPr>
        <w:t>j</w:t>
      </w:r>
      <w:r w:rsidRPr="00A84443">
        <w:rPr>
          <w:lang w:val="sr-Latn-RS"/>
        </w:rPr>
        <w:t xml:space="preserve">eran u odnosu na potrebu </w:t>
      </w:r>
      <w:r w:rsidR="00276050" w:rsidRPr="00A84443">
        <w:rPr>
          <w:lang w:val="sr-Latn-RS"/>
        </w:rPr>
        <w:t>da se osigura poštovanje privatnog života</w:t>
      </w:r>
      <w:r w:rsidR="00387B35" w:rsidRPr="00A84443">
        <w:rPr>
          <w:lang w:val="sr-Latn-RS"/>
        </w:rPr>
        <w:t>.</w:t>
      </w:r>
      <w:r w:rsidR="00387B35" w:rsidRPr="00A84443">
        <w:rPr>
          <w:spacing w:val="-6"/>
          <w:lang w:val="sr-Latn-RS"/>
        </w:rPr>
        <w:t xml:space="preserve"> </w:t>
      </w:r>
      <w:r w:rsidR="00276050" w:rsidRPr="00A84443">
        <w:rPr>
          <w:spacing w:val="-6"/>
          <w:lang w:val="sr-Latn-RS"/>
        </w:rPr>
        <w:t xml:space="preserve">Načela zaštite podataka i Konvencija </w:t>
      </w:r>
      <w:r w:rsidR="00C13008">
        <w:rPr>
          <w:spacing w:val="-6"/>
          <w:lang w:val="sr-Latn-RS"/>
        </w:rPr>
        <w:t>Vijeća</w:t>
      </w:r>
      <w:r w:rsidR="00276050" w:rsidRPr="00A84443">
        <w:rPr>
          <w:spacing w:val="-6"/>
          <w:lang w:val="sr-Latn-RS"/>
        </w:rPr>
        <w:t xml:space="preserve"> Evrope </w:t>
      </w:r>
      <w:r w:rsidR="00387B35" w:rsidRPr="00A84443">
        <w:rPr>
          <w:lang w:val="sr-Latn-RS"/>
        </w:rPr>
        <w:t>108 (</w:t>
      </w:r>
      <w:r w:rsidR="00276050" w:rsidRPr="00A84443">
        <w:rPr>
          <w:lang w:val="sr-Latn-RS"/>
        </w:rPr>
        <w:t>i njena moderniz</w:t>
      </w:r>
      <w:r w:rsidR="00C13008">
        <w:rPr>
          <w:lang w:val="sr-Latn-RS"/>
        </w:rPr>
        <w:t>irana</w:t>
      </w:r>
      <w:r w:rsidR="00276050" w:rsidRPr="00A84443">
        <w:rPr>
          <w:lang w:val="sr-Latn-RS"/>
        </w:rPr>
        <w:t xml:space="preserve"> verzija, poznata i pod nazivom </w:t>
      </w:r>
      <w:r w:rsidR="00387B35" w:rsidRPr="00A84443">
        <w:rPr>
          <w:lang w:val="sr-Latn-RS"/>
        </w:rPr>
        <w:t>“</w:t>
      </w:r>
      <w:r w:rsidR="00276050"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="00276050" w:rsidRPr="00A84443">
        <w:rPr>
          <w:lang w:val="sr-Latn-RS"/>
        </w:rPr>
        <w:t>cija</w:t>
      </w:r>
      <w:r w:rsidR="00387B35" w:rsidRPr="00A84443">
        <w:rPr>
          <w:lang w:val="sr-Latn-RS"/>
        </w:rPr>
        <w:t xml:space="preserve"> 108+”</w:t>
      </w:r>
      <w:r w:rsidR="00720C0F">
        <w:rPr>
          <w:rStyle w:val="FootnoteReference"/>
          <w:lang w:val="sr-Latn-RS"/>
        </w:rPr>
        <w:footnoteReference w:id="28"/>
      </w:r>
      <w:r w:rsidR="00387B35" w:rsidRPr="00A84443">
        <w:rPr>
          <w:lang w:val="sr-Latn-RS"/>
        </w:rPr>
        <w:t xml:space="preserve">) </w:t>
      </w:r>
      <w:r w:rsidR="00276050" w:rsidRPr="00A84443">
        <w:rPr>
          <w:lang w:val="sr-Latn-RS"/>
        </w:rPr>
        <w:t>oduv</w:t>
      </w:r>
      <w:r w:rsidR="00C13008">
        <w:rPr>
          <w:lang w:val="sr-Latn-RS"/>
        </w:rPr>
        <w:t>ij</w:t>
      </w:r>
      <w:r w:rsidR="00276050" w:rsidRPr="00A84443">
        <w:rPr>
          <w:lang w:val="sr-Latn-RS"/>
        </w:rPr>
        <w:t>ek omogućavaju postizanje ravnoteže visokih standarda zaštite i javnih interesa, uključujući i javno zdravlje</w:t>
      </w:r>
      <w:r w:rsidR="00387B35" w:rsidRPr="00A84443">
        <w:rPr>
          <w:lang w:val="sr-Latn-RS"/>
        </w:rPr>
        <w:t>. T</w:t>
      </w:r>
      <w:r w:rsidR="00276050" w:rsidRPr="00A84443">
        <w:rPr>
          <w:lang w:val="sr-Latn-RS"/>
        </w:rPr>
        <w:t>a Konvencija dopušta izuzetke od uobičajenih pravila zaštite podataka, tokom ograničenog vremenskog perioda i uz prim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erene m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ere zaštite</w:t>
      </w:r>
      <w:r w:rsidR="00387B35" w:rsidRPr="00A84443">
        <w:rPr>
          <w:lang w:val="sr-Latn-RS"/>
        </w:rPr>
        <w:t xml:space="preserve"> (</w:t>
      </w:r>
      <w:r w:rsidR="00276050" w:rsidRPr="00A84443">
        <w:rPr>
          <w:lang w:val="sr-Latn-RS"/>
        </w:rPr>
        <w:t xml:space="preserve">npr. </w:t>
      </w:r>
      <w:r w:rsidR="00387B35" w:rsidRPr="00A84443">
        <w:rPr>
          <w:lang w:val="sr-Latn-RS"/>
        </w:rPr>
        <w:t>anon</w:t>
      </w:r>
      <w:r w:rsidR="00276050" w:rsidRPr="00A84443">
        <w:rPr>
          <w:lang w:val="sr-Latn-RS"/>
        </w:rPr>
        <w:t>i</w:t>
      </w:r>
      <w:r w:rsidR="00387B35" w:rsidRPr="00A84443">
        <w:rPr>
          <w:lang w:val="sr-Latn-RS"/>
        </w:rPr>
        <w:t>mi</w:t>
      </w:r>
      <w:r w:rsidR="00276050" w:rsidRPr="00A84443">
        <w:rPr>
          <w:lang w:val="sr-Latn-RS"/>
        </w:rPr>
        <w:t>zacija</w:t>
      </w:r>
      <w:r w:rsidR="00387B35" w:rsidRPr="00A84443">
        <w:rPr>
          <w:lang w:val="sr-Latn-RS"/>
        </w:rPr>
        <w:t xml:space="preserve">) </w:t>
      </w:r>
      <w:r w:rsidR="00276050" w:rsidRPr="00A84443">
        <w:rPr>
          <w:lang w:val="sr-Latn-RS"/>
        </w:rPr>
        <w:t>kao i uz d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elotvoran okvir nadzora kojim se osigurava da se takvi podaci prikupljaju, analiziraju, pohranjuju i razm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enjuju na legitiman i odgovoran način. Obrada podataka o ličnosti velikog obima</w:t>
      </w:r>
      <w:r w:rsidR="00C13008">
        <w:rPr>
          <w:lang w:val="sr-Latn-RS"/>
        </w:rPr>
        <w:t>,</w:t>
      </w:r>
      <w:r w:rsidR="00276050" w:rsidRPr="00A84443">
        <w:rPr>
          <w:lang w:val="sr-Latn-RS"/>
        </w:rPr>
        <w:t xml:space="preserve"> putem v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eštačke inteligencije</w:t>
      </w:r>
      <w:r w:rsidR="00C13008">
        <w:rPr>
          <w:lang w:val="sr-Latn-RS"/>
        </w:rPr>
        <w:t>,</w:t>
      </w:r>
      <w:r w:rsidR="00276050" w:rsidRPr="00A84443">
        <w:rPr>
          <w:lang w:val="sr-Latn-RS"/>
        </w:rPr>
        <w:t xml:space="preserve"> treba da se vrši kada naučni dokazi uv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erljivo pokazuju da potencijaln</w:t>
      </w:r>
      <w:r w:rsidR="00C13008">
        <w:rPr>
          <w:lang w:val="sr-Latn-RS"/>
        </w:rPr>
        <w:t>a</w:t>
      </w:r>
      <w:r w:rsidR="00276050" w:rsidRPr="00A84443">
        <w:rPr>
          <w:lang w:val="sr-Latn-RS"/>
        </w:rPr>
        <w:t xml:space="preserve"> korist po javno zdravlje ima prevagu nad alternativnim, manje intruzivnim r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 xml:space="preserve">ešenjima. Mreža eksperata </w:t>
      </w:r>
      <w:r w:rsidR="00C13008">
        <w:rPr>
          <w:lang w:val="sr-Latn-RS"/>
        </w:rPr>
        <w:t>Vijeća</w:t>
      </w:r>
      <w:r w:rsidR="00276050" w:rsidRPr="00A84443">
        <w:rPr>
          <w:lang w:val="sr-Latn-RS"/>
        </w:rPr>
        <w:t xml:space="preserve"> Evrope o v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eštačkoj inteligenciji</w:t>
      </w:r>
      <w:r w:rsidR="00720C0F">
        <w:rPr>
          <w:rStyle w:val="FootnoteReference"/>
          <w:lang w:val="sr-Latn-RS"/>
        </w:rPr>
        <w:footnoteReference w:id="29"/>
      </w:r>
      <w:r w:rsidR="00720C0F">
        <w:rPr>
          <w:lang w:val="sr-Latn-RS"/>
        </w:rPr>
        <w:t xml:space="preserve"> </w:t>
      </w:r>
      <w:r w:rsidR="00387B35" w:rsidRPr="00A84443">
        <w:rPr>
          <w:lang w:val="sr-Latn-RS"/>
        </w:rPr>
        <w:t>i</w:t>
      </w:r>
      <w:r w:rsidR="00276050" w:rsidRPr="00A84443">
        <w:rPr>
          <w:lang w:val="sr-Latn-RS"/>
        </w:rPr>
        <w:t xml:space="preserve"> njeni partneri mogu da doprinesu razm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eni znanja o ovom pitanju</w:t>
      </w:r>
      <w:r w:rsidR="00387B35" w:rsidRPr="00A84443">
        <w:rPr>
          <w:lang w:val="sr-Latn-RS"/>
        </w:rPr>
        <w:t>.</w:t>
      </w:r>
    </w:p>
    <w:p w14:paraId="1FE96AD7" w14:textId="77777777" w:rsidR="00844359" w:rsidRPr="00A84443" w:rsidRDefault="00844359">
      <w:pPr>
        <w:pStyle w:val="BodyText"/>
        <w:ind w:left="117" w:right="414"/>
        <w:jc w:val="both"/>
        <w:rPr>
          <w:lang w:val="sr-Latn-RS"/>
        </w:rPr>
      </w:pPr>
    </w:p>
    <w:p w14:paraId="1CE1B6BA" w14:textId="77777777" w:rsidR="00047EA6" w:rsidRPr="00A84443" w:rsidRDefault="001F761E">
      <w:pPr>
        <w:pStyle w:val="BodyText"/>
        <w:spacing w:before="2"/>
        <w:rPr>
          <w:sz w:val="21"/>
          <w:lang w:val="sr-Latn-RS"/>
        </w:rPr>
      </w:pPr>
      <w:r w:rsidRPr="00A84443">
        <w:rPr>
          <w:sz w:val="21"/>
          <w:lang w:val="sr-Latn-RS"/>
        </w:rPr>
        <w:t xml:space="preserve">     </w:t>
      </w:r>
    </w:p>
    <w:p w14:paraId="1A2BB881" w14:textId="77777777" w:rsidR="00047EA6" w:rsidRPr="00A84443" w:rsidRDefault="001F761E">
      <w:pPr>
        <w:pStyle w:val="Heading3"/>
        <w:numPr>
          <w:ilvl w:val="1"/>
          <w:numId w:val="1"/>
        </w:numPr>
        <w:tabs>
          <w:tab w:val="left" w:pos="1198"/>
        </w:tabs>
        <w:ind w:right="421"/>
        <w:jc w:val="both"/>
        <w:rPr>
          <w:lang w:val="sr-Latn-RS"/>
        </w:rPr>
      </w:pPr>
      <w:r w:rsidRPr="00A84443">
        <w:rPr>
          <w:lang w:val="sr-Latn-RS"/>
        </w:rPr>
        <w:lastRenderedPageBreak/>
        <w:t xml:space="preserve">Zabrana diskriminacije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14 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 xml:space="preserve">cije, i Član </w:t>
      </w:r>
      <w:r w:rsidR="00387B35" w:rsidRPr="00A84443">
        <w:rPr>
          <w:lang w:val="sr-Latn-RS"/>
        </w:rPr>
        <w:t>1, Proto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ol</w:t>
      </w:r>
      <w:r w:rsidRPr="00A84443">
        <w:rPr>
          <w:lang w:val="sr-Latn-RS"/>
        </w:rPr>
        <w:t>a</w:t>
      </w:r>
      <w:r w:rsidR="00387B35" w:rsidRPr="00A84443">
        <w:rPr>
          <w:lang w:val="sr-Latn-RS"/>
        </w:rPr>
        <w:t xml:space="preserve"> </w:t>
      </w:r>
      <w:r w:rsidRPr="00A84443">
        <w:rPr>
          <w:lang w:val="sr-Latn-RS"/>
        </w:rPr>
        <w:t>br</w:t>
      </w:r>
      <w:r w:rsidR="00387B35" w:rsidRPr="00A84443">
        <w:rPr>
          <w:lang w:val="sr-Latn-RS"/>
        </w:rPr>
        <w:t xml:space="preserve">. 12, </w:t>
      </w:r>
      <w:r w:rsidR="00A84443" w:rsidRPr="00A84443">
        <w:rPr>
          <w:lang w:val="sr-Latn-RS"/>
        </w:rPr>
        <w:t>Član</w:t>
      </w:r>
      <w:r w:rsidR="00387B35" w:rsidRPr="00A84443">
        <w:rPr>
          <w:lang w:val="sr-Latn-RS"/>
        </w:rPr>
        <w:t xml:space="preserve"> E </w:t>
      </w:r>
      <w:r w:rsidRPr="00A84443">
        <w:rPr>
          <w:lang w:val="sr-Latn-RS"/>
        </w:rPr>
        <w:t>Evropske socijalne povelje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standard</w:t>
      </w:r>
      <w:r w:rsidRPr="00A84443">
        <w:rPr>
          <w:lang w:val="sr-Latn-RS"/>
        </w:rPr>
        <w:t>i koji se odnose na raz</w:t>
      </w:r>
      <w:r w:rsidR="00A836A4">
        <w:rPr>
          <w:lang w:val="sr-Latn-RS"/>
        </w:rPr>
        <w:t>ličitost</w:t>
      </w:r>
      <w:r w:rsidRPr="00A84443">
        <w:rPr>
          <w:lang w:val="sr-Latn-RS"/>
        </w:rPr>
        <w:t xml:space="preserve"> i </w:t>
      </w:r>
      <w:r w:rsidR="00A836A4">
        <w:rPr>
          <w:lang w:val="sr-Latn-RS"/>
        </w:rPr>
        <w:t>inkluziju</w:t>
      </w:r>
    </w:p>
    <w:p w14:paraId="1A51EE2A" w14:textId="77777777" w:rsidR="00047EA6" w:rsidRPr="00A84443" w:rsidRDefault="00047EA6">
      <w:pPr>
        <w:pStyle w:val="BodyText"/>
        <w:spacing w:before="3"/>
        <w:rPr>
          <w:b/>
          <w:i/>
          <w:lang w:val="sr-Latn-RS"/>
        </w:rPr>
      </w:pPr>
    </w:p>
    <w:p w14:paraId="542A936A" w14:textId="49ECEFA2" w:rsidR="00047EA6" w:rsidRPr="00A84443" w:rsidRDefault="001F761E" w:rsidP="00103890">
      <w:pPr>
        <w:pStyle w:val="BodyText"/>
        <w:spacing w:line="237" w:lineRule="auto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Načelo zabrane diskriminacije je u velikoj m</w:t>
      </w:r>
      <w:r w:rsidR="00C261F2">
        <w:rPr>
          <w:lang w:val="sr-Latn-RS"/>
        </w:rPr>
        <w:t>j</w:t>
      </w:r>
      <w:r w:rsidRPr="00A84443">
        <w:rPr>
          <w:lang w:val="sr-Latn-RS"/>
        </w:rPr>
        <w:t xml:space="preserve">eri </w:t>
      </w:r>
      <w:r w:rsidR="00387B35" w:rsidRPr="00A84443">
        <w:rPr>
          <w:lang w:val="sr-Latn-RS"/>
        </w:rPr>
        <w:t>relevant</w:t>
      </w:r>
      <w:r w:rsidRPr="00A84443">
        <w:rPr>
          <w:lang w:val="sr-Latn-RS"/>
        </w:rPr>
        <w:t>no u sadašnjem kontekstu</w:t>
      </w:r>
      <w:r w:rsidR="00387B35" w:rsidRPr="00A84443">
        <w:rPr>
          <w:lang w:val="sr-Latn-RS"/>
        </w:rPr>
        <w:t>.</w:t>
      </w:r>
      <w:r w:rsidR="00387B35" w:rsidRPr="00A84443">
        <w:rPr>
          <w:spacing w:val="-9"/>
          <w:lang w:val="sr-Latn-RS"/>
        </w:rPr>
        <w:t xml:space="preserve"> </w:t>
      </w:r>
      <w:r w:rsidRPr="00A84443">
        <w:rPr>
          <w:lang w:val="sr-Latn-RS"/>
        </w:rPr>
        <w:t>Prilikom proc</w:t>
      </w:r>
      <w:r w:rsidR="00C261F2">
        <w:rPr>
          <w:lang w:val="sr-Latn-RS"/>
        </w:rPr>
        <w:t>j</w:t>
      </w:r>
      <w:r w:rsidRPr="00A84443">
        <w:rPr>
          <w:lang w:val="sr-Latn-RS"/>
        </w:rPr>
        <w:t>enjivanja da li su m</w:t>
      </w:r>
      <w:r w:rsidR="00C261F2">
        <w:rPr>
          <w:lang w:val="sr-Latn-RS"/>
        </w:rPr>
        <w:t>j</w:t>
      </w:r>
      <w:r w:rsidRPr="00A84443">
        <w:rPr>
          <w:lang w:val="sr-Latn-RS"/>
        </w:rPr>
        <w:t xml:space="preserve">ere odstupanja bile </w:t>
      </w:r>
      <w:r w:rsidR="00387B35" w:rsidRPr="00A84443">
        <w:rPr>
          <w:lang w:val="sr-Latn-RS"/>
        </w:rPr>
        <w:t>“stri</w:t>
      </w:r>
      <w:r w:rsidRPr="00A84443">
        <w:rPr>
          <w:lang w:val="sr-Latn-RS"/>
        </w:rPr>
        <w:t>ktno neophodne</w:t>
      </w:r>
      <w:r w:rsidR="00387B35" w:rsidRPr="00A84443">
        <w:rPr>
          <w:lang w:val="sr-Latn-RS"/>
        </w:rPr>
        <w:t xml:space="preserve">” </w:t>
      </w:r>
      <w:r w:rsidRPr="00A84443">
        <w:rPr>
          <w:lang w:val="sr-Latn-RS"/>
        </w:rPr>
        <w:t xml:space="preserve">prema Članu </w:t>
      </w:r>
      <w:r w:rsidR="00387B35" w:rsidRPr="00A84443">
        <w:rPr>
          <w:lang w:val="sr-Latn-RS"/>
        </w:rPr>
        <w:t xml:space="preserve">15 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cije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Sud razmatra da li m</w:t>
      </w:r>
      <w:r w:rsidR="00C261F2">
        <w:rPr>
          <w:lang w:val="sr-Latn-RS"/>
        </w:rPr>
        <w:t>j</w:t>
      </w:r>
      <w:r w:rsidRPr="00A84443">
        <w:rPr>
          <w:lang w:val="sr-Latn-RS"/>
        </w:rPr>
        <w:t>ere vrše neopravdanu diskriminaciju među različitim kategorijama lic</w:t>
      </w:r>
      <w:r w:rsidRPr="00A84443">
        <w:rPr>
          <w:spacing w:val="-8"/>
          <w:lang w:val="sr-Latn-RS"/>
        </w:rPr>
        <w:t>a</w:t>
      </w:r>
      <w:r w:rsidR="00163329">
        <w:rPr>
          <w:rStyle w:val="FootnoteReference"/>
          <w:spacing w:val="-8"/>
          <w:lang w:val="sr-Latn-RS"/>
        </w:rPr>
        <w:footnoteReference w:id="30"/>
      </w:r>
      <w:r w:rsidR="00387B35" w:rsidRPr="00A84443">
        <w:rPr>
          <w:lang w:val="sr-Latn-RS"/>
        </w:rPr>
        <w:t>.</w:t>
      </w:r>
      <w:r w:rsidR="00387B35" w:rsidRPr="00A84443">
        <w:rPr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 xml:space="preserve">Takođe, određeni oblici diskriminacije mogu da predstavljaju ponižavajuće postupanje koje je zabranjeno Članom </w:t>
      </w:r>
      <w:r w:rsidR="00387B35" w:rsidRPr="00A84443">
        <w:rPr>
          <w:lang w:val="sr-Latn-RS"/>
        </w:rPr>
        <w:t xml:space="preserve">3, </w:t>
      </w:r>
      <w:r w:rsidRPr="00A84443">
        <w:rPr>
          <w:lang w:val="sr-Latn-RS"/>
        </w:rPr>
        <w:t>koji predstavlja odredbu kod koje odstupanje nije dozvoljeno</w:t>
      </w:r>
      <w:r w:rsidR="00163329">
        <w:rPr>
          <w:rStyle w:val="FootnoteReference"/>
          <w:lang w:val="sr-Latn-RS"/>
        </w:rPr>
        <w:footnoteReference w:id="31"/>
      </w:r>
      <w:r w:rsidR="00387B35" w:rsidRPr="00A84443">
        <w:rPr>
          <w:lang w:val="sr-Latn-RS"/>
        </w:rPr>
        <w:t>.</w:t>
      </w:r>
      <w:r w:rsidR="00387B35" w:rsidRPr="00A84443">
        <w:rPr>
          <w:spacing w:val="9"/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>Osim toga, činjenica da se ne uzimaju u obzir specifične potrebe lica koja pripadaju ugroženim grupama</w:t>
      </w:r>
      <w:r w:rsidR="00C261F2">
        <w:rPr>
          <w:lang w:val="sr-Latn-RS"/>
        </w:rPr>
        <w:t xml:space="preserve">, </w:t>
      </w:r>
      <w:r w:rsidRPr="00A84443">
        <w:rPr>
          <w:lang w:val="sr-Latn-RS"/>
        </w:rPr>
        <w:t xml:space="preserve">može </w:t>
      </w:r>
      <w:r w:rsidR="00C261F2">
        <w:rPr>
          <w:lang w:val="sr-Latn-RS"/>
        </w:rPr>
        <w:t xml:space="preserve">da </w:t>
      </w:r>
      <w:r w:rsidRPr="00A84443">
        <w:rPr>
          <w:lang w:val="sr-Latn-RS"/>
        </w:rPr>
        <w:t xml:space="preserve">ima </w:t>
      </w:r>
      <w:r w:rsidR="00C261F2" w:rsidRPr="00A84443">
        <w:rPr>
          <w:lang w:val="sr-Latn-RS"/>
        </w:rPr>
        <w:t>diskriminaciju</w:t>
      </w:r>
      <w:r w:rsidR="00C261F2">
        <w:rPr>
          <w:rStyle w:val="FootnoteReference"/>
          <w:lang w:val="sr-Latn-RS"/>
        </w:rPr>
        <w:footnoteReference w:id="32"/>
      </w:r>
      <w:r w:rsidR="00C261F2">
        <w:rPr>
          <w:lang w:val="sr-Latn-RS"/>
        </w:rPr>
        <w:t xml:space="preserve"> </w:t>
      </w:r>
      <w:r w:rsidRPr="00A84443">
        <w:rPr>
          <w:lang w:val="sr-Latn-RS"/>
        </w:rPr>
        <w:t>za posl</w:t>
      </w:r>
      <w:r w:rsidR="00C261F2">
        <w:rPr>
          <w:lang w:val="sr-Latn-RS"/>
        </w:rPr>
        <w:t>j</w:t>
      </w:r>
      <w:r w:rsidRPr="00A84443">
        <w:rPr>
          <w:lang w:val="sr-Latn-RS"/>
        </w:rPr>
        <w:t>edicu</w:t>
      </w:r>
      <w:r w:rsidR="00C261F2">
        <w:rPr>
          <w:lang w:val="sr-Latn-RS"/>
        </w:rPr>
        <w:t>.</w:t>
      </w:r>
      <w:r w:rsidRPr="00A84443">
        <w:rPr>
          <w:lang w:val="sr-Latn-RS"/>
        </w:rPr>
        <w:t xml:space="preserve"> Zabrana diskriminacije može dakle da podrazum</w:t>
      </w:r>
      <w:r w:rsidR="00C261F2">
        <w:rPr>
          <w:lang w:val="sr-Latn-RS"/>
        </w:rPr>
        <w:t>ij</w:t>
      </w:r>
      <w:r w:rsidRPr="00A84443">
        <w:rPr>
          <w:lang w:val="sr-Latn-RS"/>
        </w:rPr>
        <w:t>eva obavezu da se preduzmu afirmativne m</w:t>
      </w:r>
      <w:r w:rsidR="00C261F2">
        <w:rPr>
          <w:lang w:val="sr-Latn-RS"/>
        </w:rPr>
        <w:t>j</w:t>
      </w:r>
      <w:r w:rsidRPr="00A84443">
        <w:rPr>
          <w:lang w:val="sr-Latn-RS"/>
        </w:rPr>
        <w:t>ere za postizanje suštinske ravnopravnosti</w:t>
      </w:r>
      <w:r w:rsidR="00163329">
        <w:rPr>
          <w:rStyle w:val="FootnoteReference"/>
          <w:lang w:val="sr-Latn-RS"/>
        </w:rPr>
        <w:footnoteReference w:id="33"/>
      </w:r>
      <w:r w:rsidRPr="00A84443">
        <w:rPr>
          <w:lang w:val="sr-Latn-RS"/>
        </w:rPr>
        <w:t>.</w:t>
      </w:r>
      <w:r w:rsidR="00387B35" w:rsidRPr="00A84443">
        <w:rPr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>Sličan pristup sl</w:t>
      </w:r>
      <w:r w:rsidR="00C261F2">
        <w:rPr>
          <w:lang w:val="sr-Latn-RS"/>
        </w:rPr>
        <w:t>ij</w:t>
      </w:r>
      <w:r w:rsidRPr="00A84443">
        <w:rPr>
          <w:lang w:val="sr-Latn-RS"/>
        </w:rPr>
        <w:t xml:space="preserve">edi i Evropska socijalna povelja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E)</w:t>
      </w:r>
      <w:r w:rsidR="00163329">
        <w:rPr>
          <w:rStyle w:val="FootnoteReference"/>
          <w:lang w:val="sr-Latn-RS"/>
        </w:rPr>
        <w:footnoteReference w:id="34"/>
      </w:r>
      <w:r w:rsidR="00163329">
        <w:rPr>
          <w:lang w:val="sr-Latn-RS"/>
        </w:rPr>
        <w:t xml:space="preserve">. </w:t>
      </w:r>
      <w:r w:rsidRPr="00A84443">
        <w:rPr>
          <w:lang w:val="sr-Latn-RS"/>
        </w:rPr>
        <w:t xml:space="preserve">U tom smislu, mnoge odredbe Okvirne konvencije </w:t>
      </w:r>
      <w:r w:rsidR="00EC5808">
        <w:rPr>
          <w:lang w:val="sr-Latn-RS"/>
        </w:rPr>
        <w:t>za</w:t>
      </w:r>
      <w:r w:rsidRPr="00A84443">
        <w:rPr>
          <w:lang w:val="sr-Latn-RS"/>
        </w:rPr>
        <w:t xml:space="preserve"> zaštit</w:t>
      </w:r>
      <w:r w:rsidR="00EC5808">
        <w:rPr>
          <w:lang w:val="sr-Latn-RS"/>
        </w:rPr>
        <w:t>u</w:t>
      </w:r>
      <w:r w:rsidRPr="00A84443">
        <w:rPr>
          <w:lang w:val="sr-Latn-RS"/>
        </w:rPr>
        <w:t xml:space="preserve"> nacionalnih manjina, Evropske povelje o regionalnim i</w:t>
      </w:r>
      <w:r w:rsidR="00EC5808">
        <w:rPr>
          <w:lang w:val="sr-Latn-RS"/>
        </w:rPr>
        <w:t>li</w:t>
      </w:r>
      <w:r w:rsidRPr="00A84443">
        <w:rPr>
          <w:lang w:val="sr-Latn-RS"/>
        </w:rPr>
        <w:t xml:space="preserve"> manjinskim jezicima, ali takođe i </w:t>
      </w:r>
      <w:r w:rsidR="009C707D">
        <w:rPr>
          <w:lang w:val="sr-Latn-RS"/>
        </w:rPr>
        <w:t>P</w:t>
      </w:r>
      <w:r w:rsidRPr="00A84443">
        <w:rPr>
          <w:lang w:val="sr-Latn-RS"/>
        </w:rPr>
        <w:t xml:space="preserve">reporuke </w:t>
      </w:r>
      <w:r w:rsidR="009C707D">
        <w:rPr>
          <w:lang w:val="sr-Latn-RS"/>
        </w:rPr>
        <w:t xml:space="preserve">opšte </w:t>
      </w:r>
      <w:r w:rsidRPr="00A84443">
        <w:rPr>
          <w:lang w:val="sr-Latn-RS"/>
        </w:rPr>
        <w:t xml:space="preserve">politike </w:t>
      </w:r>
      <w:r w:rsidR="009C707D">
        <w:rPr>
          <w:lang w:val="sr-Latn-RS"/>
        </w:rPr>
        <w:t>Evropske komisije protiv rasizma i netolerancije (ECRI)</w:t>
      </w:r>
      <w:r w:rsidR="00C261F2">
        <w:rPr>
          <w:lang w:val="sr-Latn-RS"/>
        </w:rPr>
        <w:t xml:space="preserve"> t</w:t>
      </w:r>
      <w:r w:rsidRPr="00A84443">
        <w:rPr>
          <w:lang w:val="sr-Latn-RS"/>
        </w:rPr>
        <w:t>reba posmatrati kao izraz načela ravnopravnosti i ne-diskriminacije</w:t>
      </w:r>
      <w:r w:rsidR="00387B35" w:rsidRPr="00A84443">
        <w:rPr>
          <w:lang w:val="sr-Latn-RS"/>
        </w:rPr>
        <w:t>.</w:t>
      </w:r>
    </w:p>
    <w:p w14:paraId="00663D04" w14:textId="77777777" w:rsidR="00047EA6" w:rsidRPr="00A84443" w:rsidRDefault="00047EA6">
      <w:pPr>
        <w:pStyle w:val="BodyText"/>
        <w:spacing w:before="4"/>
        <w:rPr>
          <w:lang w:val="sr-Latn-RS"/>
        </w:rPr>
      </w:pPr>
    </w:p>
    <w:p w14:paraId="6D3F62AB" w14:textId="50ADA937" w:rsidR="00047EA6" w:rsidRPr="00A84443" w:rsidRDefault="001F761E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Izuzetne m</w:t>
      </w:r>
      <w:r w:rsidR="00C261F2">
        <w:rPr>
          <w:lang w:val="sr-Latn-RS"/>
        </w:rPr>
        <w:t>j</w:t>
      </w:r>
      <w:r w:rsidRPr="00A84443">
        <w:rPr>
          <w:lang w:val="sr-Latn-RS"/>
        </w:rPr>
        <w:t xml:space="preserve">ere </w:t>
      </w:r>
      <w:r w:rsidR="00F00E94" w:rsidRPr="00A84443">
        <w:rPr>
          <w:lang w:val="sr-Latn-RS"/>
        </w:rPr>
        <w:t xml:space="preserve">koje se danas preduzimaju u okviru borbe protiv širenja </w:t>
      </w:r>
      <w:r w:rsidR="00387B35" w:rsidRPr="00A84443">
        <w:rPr>
          <w:lang w:val="sr-Latn-RS"/>
        </w:rPr>
        <w:t>virus</w:t>
      </w:r>
      <w:r w:rsidR="00F00E94" w:rsidRPr="00A84443">
        <w:rPr>
          <w:lang w:val="sr-Latn-RS"/>
        </w:rPr>
        <w:t>a će v</w:t>
      </w:r>
      <w:r w:rsidR="00C261F2">
        <w:rPr>
          <w:lang w:val="sr-Latn-RS"/>
        </w:rPr>
        <w:t>j</w:t>
      </w:r>
      <w:r w:rsidR="00F00E94" w:rsidRPr="00A84443">
        <w:rPr>
          <w:lang w:val="sr-Latn-RS"/>
        </w:rPr>
        <w:t>erovatno pokrenuti pitanja o njihovim potencijalno diskriminatornim posl</w:t>
      </w:r>
      <w:r w:rsidR="00C261F2">
        <w:rPr>
          <w:lang w:val="sr-Latn-RS"/>
        </w:rPr>
        <w:t>j</w:t>
      </w:r>
      <w:r w:rsidR="00F00E94" w:rsidRPr="00A84443">
        <w:rPr>
          <w:lang w:val="sr-Latn-RS"/>
        </w:rPr>
        <w:t>edicama. Na pri</w:t>
      </w:r>
      <w:r w:rsidR="00C261F2">
        <w:rPr>
          <w:lang w:val="sr-Latn-RS"/>
        </w:rPr>
        <w:t>j</w:t>
      </w:r>
      <w:r w:rsidR="00F00E94" w:rsidRPr="00A84443">
        <w:rPr>
          <w:lang w:val="sr-Latn-RS"/>
        </w:rPr>
        <w:t>mer, pravo n</w:t>
      </w:r>
      <w:r w:rsidR="00534EEC" w:rsidRPr="00A84443">
        <w:rPr>
          <w:lang w:val="sr-Latn-RS"/>
        </w:rPr>
        <w:t>a</w:t>
      </w:r>
      <w:r w:rsidR="00F00E94" w:rsidRPr="00A84443">
        <w:rPr>
          <w:lang w:val="sr-Latn-RS"/>
        </w:rPr>
        <w:t xml:space="preserve"> obrazovanje koje je garantovano Konvencijom </w:t>
      </w:r>
      <w:r w:rsidR="00387B35" w:rsidRPr="00A84443">
        <w:rPr>
          <w:lang w:val="sr-Latn-RS"/>
        </w:rPr>
        <w:t>(</w:t>
      </w:r>
      <w:r w:rsidR="00F00E94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2 Proto</w:t>
      </w:r>
      <w:r w:rsidR="00F00E94" w:rsidRPr="00A84443">
        <w:rPr>
          <w:lang w:val="sr-Latn-RS"/>
        </w:rPr>
        <w:t xml:space="preserve">kola br. </w:t>
      </w:r>
      <w:r w:rsidR="00387B35" w:rsidRPr="00A84443">
        <w:rPr>
          <w:lang w:val="sr-Latn-RS"/>
        </w:rPr>
        <w:t xml:space="preserve">1) </w:t>
      </w:r>
      <w:r w:rsidR="00F00E94" w:rsidRPr="00A84443">
        <w:rPr>
          <w:lang w:val="sr-Latn-RS"/>
        </w:rPr>
        <w:t xml:space="preserve">i </w:t>
      </w:r>
      <w:r w:rsidR="007974E2" w:rsidRPr="00A84443">
        <w:rPr>
          <w:lang w:val="sr-Latn-RS"/>
        </w:rPr>
        <w:t>Evr</w:t>
      </w:r>
      <w:r w:rsidR="00F00E94" w:rsidRPr="00A84443">
        <w:rPr>
          <w:lang w:val="sr-Latn-RS"/>
        </w:rPr>
        <w:t xml:space="preserve">opskom socijalnom poveljom </w:t>
      </w:r>
      <w:r w:rsidR="00387B35" w:rsidRPr="00A84443">
        <w:rPr>
          <w:lang w:val="sr-Latn-RS"/>
        </w:rPr>
        <w:t>(</w:t>
      </w:r>
      <w:r w:rsidR="007974E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17) </w:t>
      </w:r>
      <w:r w:rsidR="007974E2" w:rsidRPr="00A84443">
        <w:rPr>
          <w:lang w:val="sr-Latn-RS"/>
        </w:rPr>
        <w:t>bi u načel</w:t>
      </w:r>
      <w:r w:rsidR="00534EEC" w:rsidRPr="00A84443">
        <w:rPr>
          <w:lang w:val="sr-Latn-RS"/>
        </w:rPr>
        <w:t>u</w:t>
      </w:r>
      <w:r w:rsidR="007974E2" w:rsidRPr="00A84443">
        <w:rPr>
          <w:lang w:val="sr-Latn-RS"/>
        </w:rPr>
        <w:t xml:space="preserve"> trebalo osigurati</w:t>
      </w:r>
      <w:r w:rsidR="00387B35" w:rsidRPr="00A84443">
        <w:rPr>
          <w:lang w:val="sr-Latn-RS"/>
        </w:rPr>
        <w:t xml:space="preserve">, </w:t>
      </w:r>
      <w:r w:rsidR="007974E2" w:rsidRPr="00A84443">
        <w:rPr>
          <w:lang w:val="sr-Latn-RS"/>
        </w:rPr>
        <w:t>čak iako načini na koje se ono osigurava zaht</w:t>
      </w:r>
      <w:r w:rsidR="00C261F2">
        <w:rPr>
          <w:lang w:val="sr-Latn-RS"/>
        </w:rPr>
        <w:t>j</w:t>
      </w:r>
      <w:r w:rsidR="007974E2" w:rsidRPr="00A84443">
        <w:rPr>
          <w:lang w:val="sr-Latn-RS"/>
        </w:rPr>
        <w:t>evaju prilagođavanja</w:t>
      </w:r>
      <w:r w:rsidR="00387B35" w:rsidRPr="00A84443">
        <w:rPr>
          <w:lang w:val="sr-Latn-RS"/>
        </w:rPr>
        <w:t xml:space="preserve">. </w:t>
      </w:r>
      <w:r w:rsidR="007974E2" w:rsidRPr="00A84443">
        <w:rPr>
          <w:lang w:val="sr-Latn-RS"/>
        </w:rPr>
        <w:t>Neophodno je, međutim, obratiti posebnu pažnju da se obezb</w:t>
      </w:r>
      <w:r w:rsidR="00C261F2">
        <w:rPr>
          <w:lang w:val="sr-Latn-RS"/>
        </w:rPr>
        <w:t>ij</w:t>
      </w:r>
      <w:r w:rsidR="007974E2" w:rsidRPr="00A84443">
        <w:rPr>
          <w:lang w:val="sr-Latn-RS"/>
        </w:rPr>
        <w:t>edi da pr</w:t>
      </w:r>
      <w:r w:rsidR="00534EEC" w:rsidRPr="00A84443">
        <w:rPr>
          <w:lang w:val="sr-Latn-RS"/>
        </w:rPr>
        <w:t>i</w:t>
      </w:r>
      <w:r w:rsidR="007974E2" w:rsidRPr="00A84443">
        <w:rPr>
          <w:lang w:val="sr-Latn-RS"/>
        </w:rPr>
        <w:t>padnici ugroženih grupa i dalje uživaju pravo na obrazovanje i imaju ravnopravan pristup sredstvima i materijalima za obrazovanje u vr</w:t>
      </w:r>
      <w:r w:rsidR="00C261F2">
        <w:rPr>
          <w:lang w:val="sr-Latn-RS"/>
        </w:rPr>
        <w:t>ij</w:t>
      </w:r>
      <w:r w:rsidR="007974E2" w:rsidRPr="00A84443">
        <w:rPr>
          <w:lang w:val="sr-Latn-RS"/>
        </w:rPr>
        <w:t>eme ograničenja kretanja</w:t>
      </w:r>
      <w:r w:rsidR="00387B35" w:rsidRPr="00A84443">
        <w:rPr>
          <w:lang w:val="sr-Latn-RS"/>
        </w:rPr>
        <w:t>.</w:t>
      </w:r>
      <w:r w:rsidR="00387B35" w:rsidRPr="00A84443">
        <w:rPr>
          <w:spacing w:val="-14"/>
          <w:lang w:val="sr-Latn-RS"/>
        </w:rPr>
        <w:t xml:space="preserve"> </w:t>
      </w:r>
      <w:r w:rsidR="007974E2" w:rsidRPr="00A84443">
        <w:rPr>
          <w:lang w:val="sr-Latn-RS"/>
        </w:rPr>
        <w:t xml:space="preserve">U izradi je detaljna analiza poteškoća i rizika sa kojima se suočavaju Romi, </w:t>
      </w:r>
      <w:r w:rsidR="00387B35" w:rsidRPr="00A84443">
        <w:rPr>
          <w:lang w:val="sr-Latn-RS"/>
        </w:rPr>
        <w:t>migrant</w:t>
      </w:r>
      <w:r w:rsidR="007974E2"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, </w:t>
      </w:r>
      <w:r w:rsidR="007974E2" w:rsidRPr="00A84443">
        <w:rPr>
          <w:lang w:val="sr-Latn-RS"/>
        </w:rPr>
        <w:t xml:space="preserve">osobe koje pripadaju nacionalnim manjinama i </w:t>
      </w:r>
      <w:r w:rsidR="00387B35" w:rsidRPr="00A84443">
        <w:rPr>
          <w:lang w:val="sr-Latn-RS"/>
        </w:rPr>
        <w:t xml:space="preserve">LGBTI </w:t>
      </w:r>
      <w:r w:rsidR="007974E2" w:rsidRPr="00A84443">
        <w:rPr>
          <w:lang w:val="sr-Latn-RS"/>
        </w:rPr>
        <w:t>osobe</w:t>
      </w:r>
      <w:r w:rsidR="00387B35" w:rsidRPr="00A84443">
        <w:rPr>
          <w:lang w:val="sr-Latn-RS"/>
        </w:rPr>
        <w:t xml:space="preserve">, </w:t>
      </w:r>
      <w:r w:rsidR="007974E2" w:rsidRPr="00A84443">
        <w:rPr>
          <w:lang w:val="sr-Latn-RS"/>
        </w:rPr>
        <w:t>ali i analiza odličnih specifičnih praksi uključivanja koje su već prim</w:t>
      </w:r>
      <w:r w:rsidR="00C261F2">
        <w:rPr>
          <w:lang w:val="sr-Latn-RS"/>
        </w:rPr>
        <w:t>ij</w:t>
      </w:r>
      <w:r w:rsidR="007974E2" w:rsidRPr="00A84443">
        <w:rPr>
          <w:lang w:val="sr-Latn-RS"/>
        </w:rPr>
        <w:t>enjene tokom ove krize u nekim državama članicama</w:t>
      </w:r>
      <w:r w:rsidR="00163329">
        <w:rPr>
          <w:rStyle w:val="FootnoteReference"/>
          <w:lang w:val="sr-Latn-RS"/>
        </w:rPr>
        <w:footnoteReference w:id="35"/>
      </w:r>
      <w:r w:rsidR="00387B35" w:rsidRPr="00A84443">
        <w:rPr>
          <w:lang w:val="sr-Latn-RS"/>
        </w:rPr>
        <w:t>.</w:t>
      </w:r>
    </w:p>
    <w:p w14:paraId="33B93E5F" w14:textId="77777777" w:rsidR="00047EA6" w:rsidRPr="00A84443" w:rsidRDefault="00047EA6">
      <w:pPr>
        <w:pStyle w:val="BodyText"/>
        <w:spacing w:before="8"/>
        <w:rPr>
          <w:sz w:val="21"/>
          <w:lang w:val="sr-Latn-RS"/>
        </w:rPr>
      </w:pPr>
    </w:p>
    <w:p w14:paraId="649A9B4D" w14:textId="77777777" w:rsidR="00047EA6" w:rsidRPr="00A84443" w:rsidRDefault="001A304B">
      <w:pPr>
        <w:pStyle w:val="Heading2"/>
        <w:numPr>
          <w:ilvl w:val="0"/>
          <w:numId w:val="1"/>
        </w:numPr>
        <w:tabs>
          <w:tab w:val="left" w:pos="839"/>
        </w:tabs>
        <w:ind w:hanging="361"/>
        <w:rPr>
          <w:lang w:val="sr-Latn-RS"/>
        </w:rPr>
      </w:pPr>
      <w:r w:rsidRPr="00A84443">
        <w:rPr>
          <w:lang w:val="sr-Latn-RS"/>
        </w:rPr>
        <w:t>Zaštita od kriminala</w:t>
      </w:r>
      <w:r w:rsidR="00387B35" w:rsidRPr="00A84443">
        <w:rPr>
          <w:lang w:val="sr-Latn-RS"/>
        </w:rPr>
        <w:t xml:space="preserve">; </w:t>
      </w:r>
      <w:r w:rsidRPr="00A84443">
        <w:rPr>
          <w:lang w:val="sr-Latn-RS"/>
        </w:rPr>
        <w:t>zaštita žrtava kriminala</w:t>
      </w:r>
    </w:p>
    <w:p w14:paraId="1A44BC2E" w14:textId="77777777" w:rsidR="00047EA6" w:rsidRPr="00A84443" w:rsidRDefault="00047EA6">
      <w:pPr>
        <w:pStyle w:val="BodyText"/>
        <w:spacing w:before="3"/>
        <w:rPr>
          <w:b/>
          <w:lang w:val="sr-Latn-RS"/>
        </w:rPr>
      </w:pPr>
    </w:p>
    <w:p w14:paraId="59F3F711" w14:textId="75FBEBF4" w:rsidR="00047EA6" w:rsidRPr="00A84443" w:rsidRDefault="00071D76">
      <w:pPr>
        <w:pStyle w:val="BodyText"/>
        <w:spacing w:line="237" w:lineRule="auto"/>
        <w:ind w:left="117" w:right="413"/>
        <w:jc w:val="both"/>
        <w:rPr>
          <w:sz w:val="14"/>
          <w:lang w:val="sr-Latn-RS"/>
        </w:rPr>
      </w:pPr>
      <w:r w:rsidRPr="00A84443">
        <w:rPr>
          <w:lang w:val="sr-Latn-RS"/>
        </w:rPr>
        <w:t>Sve više se prijavljuju incidenti i dokazi koji pokazuju da politika izolacije i ograničenog kretanja dovodi do povećanja nivoa nasilja u porodici</w:t>
      </w:r>
      <w:r w:rsidR="00387B35" w:rsidRPr="00A84443">
        <w:rPr>
          <w:lang w:val="sr-Latn-RS"/>
        </w:rPr>
        <w:t>, se</w:t>
      </w:r>
      <w:r w:rsidRPr="00A84443">
        <w:rPr>
          <w:lang w:val="sr-Latn-RS"/>
        </w:rPr>
        <w:t>ksualno i rodno zasnovanog nasilja</w:t>
      </w:r>
      <w:r w:rsidR="00387B35" w:rsidRPr="00A84443">
        <w:rPr>
          <w:lang w:val="sr-Latn-RS"/>
        </w:rPr>
        <w:t xml:space="preserve"> – </w:t>
      </w:r>
      <w:r w:rsidRPr="00A84443">
        <w:rPr>
          <w:lang w:val="sr-Latn-RS"/>
        </w:rPr>
        <w:t>što samim tim uk</w:t>
      </w:r>
      <w:r w:rsidR="005D651E" w:rsidRPr="00A84443">
        <w:rPr>
          <w:lang w:val="sr-Latn-RS"/>
        </w:rPr>
        <w:t>a</w:t>
      </w:r>
      <w:r w:rsidRPr="00A84443">
        <w:rPr>
          <w:lang w:val="sr-Latn-RS"/>
        </w:rPr>
        <w:t>zuje i na povećanu potrebu za zaštitom od ovakvih pojava. Možemo samo da pozdravimo pristup koji prim</w:t>
      </w:r>
      <w:r w:rsidR="00620A9D">
        <w:rPr>
          <w:lang w:val="sr-Latn-RS"/>
        </w:rPr>
        <w:t>ij</w:t>
      </w:r>
      <w:r w:rsidRPr="00A84443">
        <w:rPr>
          <w:lang w:val="sr-Latn-RS"/>
        </w:rPr>
        <w:t xml:space="preserve">enjuju one države članice koje, u skladu sa duhom </w:t>
      </w:r>
      <w:r w:rsidR="00A84443" w:rsidRPr="00A84443">
        <w:rPr>
          <w:lang w:val="sr-Latn-RS"/>
        </w:rPr>
        <w:t>Istanbulske</w:t>
      </w:r>
      <w:r w:rsidRPr="00A84443">
        <w:rPr>
          <w:lang w:val="sr-Latn-RS"/>
        </w:rPr>
        <w:t xml:space="preserve"> konvencije</w:t>
      </w:r>
      <w:r w:rsidR="00163329">
        <w:rPr>
          <w:rStyle w:val="FootnoteReference"/>
          <w:lang w:val="sr-Latn-RS"/>
        </w:rPr>
        <w:footnoteReference w:id="36"/>
      </w:r>
      <w:r w:rsidRPr="00A84443">
        <w:rPr>
          <w:lang w:val="sr-Latn-RS"/>
        </w:rPr>
        <w:t>, traže načine da nastave sa pružanjem usluga podrške i zaštite žrtvama takvog nasilja, prilagođene uslovima režima izolacije</w:t>
      </w:r>
      <w:r w:rsidR="00387B35" w:rsidRPr="00A84443">
        <w:rPr>
          <w:lang w:val="sr-Latn-RS"/>
        </w:rPr>
        <w:t xml:space="preserve">. </w:t>
      </w:r>
      <w:r w:rsidR="00620A9D">
        <w:rPr>
          <w:lang w:val="sr-Latn-RS"/>
        </w:rPr>
        <w:t>Vijeće</w:t>
      </w:r>
      <w:r w:rsidRPr="00A84443">
        <w:rPr>
          <w:lang w:val="sr-Latn-RS"/>
        </w:rPr>
        <w:t xml:space="preserve"> Evrope može </w:t>
      </w:r>
      <w:r w:rsidRPr="009C707D">
        <w:rPr>
          <w:lang w:val="sr-Latn-RS"/>
        </w:rPr>
        <w:t>da distribui</w:t>
      </w:r>
      <w:r w:rsidR="00FB236D" w:rsidRPr="009C707D">
        <w:rPr>
          <w:lang w:val="sr-Latn-RS"/>
        </w:rPr>
        <w:t>ra</w:t>
      </w:r>
      <w:r w:rsidRPr="009C707D">
        <w:rPr>
          <w:lang w:val="sr-Latn-RS"/>
        </w:rPr>
        <w:t xml:space="preserve"> informacije</w:t>
      </w:r>
      <w:r w:rsidRPr="00A84443">
        <w:rPr>
          <w:lang w:val="sr-Latn-RS"/>
        </w:rPr>
        <w:t xml:space="preserve"> o praksama koje su uvedene u njegovim državama članicama, kao na </w:t>
      </w:r>
      <w:r w:rsidR="00620A9D">
        <w:rPr>
          <w:lang w:val="sr-Latn-RS"/>
        </w:rPr>
        <w:t xml:space="preserve">primijer </w:t>
      </w:r>
      <w:r w:rsidRPr="00A84443">
        <w:rPr>
          <w:lang w:val="sr-Latn-RS"/>
        </w:rPr>
        <w:t xml:space="preserve">omogućavanje žrtvama alternativnih načina da </w:t>
      </w:r>
      <w:r w:rsidRPr="00A84443">
        <w:rPr>
          <w:lang w:val="sr-Latn-RS"/>
        </w:rPr>
        <w:lastRenderedPageBreak/>
        <w:t>prijave slučajeve nasilja</w:t>
      </w:r>
      <w:r w:rsidR="00EF6D9D">
        <w:rPr>
          <w:rStyle w:val="FootnoteReference"/>
          <w:lang w:val="sr-Latn-RS"/>
        </w:rPr>
        <w:footnoteReference w:id="37"/>
      </w:r>
      <w:r w:rsidR="00387B35" w:rsidRPr="00A84443">
        <w:rPr>
          <w:lang w:val="sr-Latn-RS"/>
        </w:rPr>
        <w:t>.</w:t>
      </w:r>
      <w:r w:rsidR="00387B35" w:rsidRPr="00A84443">
        <w:rPr>
          <w:spacing w:val="-11"/>
          <w:lang w:val="sr-Latn-RS"/>
        </w:rPr>
        <w:t xml:space="preserve"> </w:t>
      </w:r>
      <w:r w:rsidRPr="00A84443">
        <w:rPr>
          <w:lang w:val="sr-Latn-RS"/>
        </w:rPr>
        <w:t>Takođe je važno razmotriti inovativne načine kojima se za d</w:t>
      </w:r>
      <w:r w:rsidR="0012473A">
        <w:rPr>
          <w:lang w:val="sr-Latn-RS"/>
        </w:rPr>
        <w:t>j</w:t>
      </w:r>
      <w:r w:rsidRPr="00A84443">
        <w:rPr>
          <w:lang w:val="sr-Latn-RS"/>
        </w:rPr>
        <w:t>ecu omogućava pristup SOS linijama za pomoć i SOS linijama u sv</w:t>
      </w:r>
      <w:r w:rsidR="0012473A">
        <w:rPr>
          <w:lang w:val="sr-Latn-RS"/>
        </w:rPr>
        <w:t>j</w:t>
      </w:r>
      <w:r w:rsidRPr="00A84443">
        <w:rPr>
          <w:lang w:val="sr-Latn-RS"/>
        </w:rPr>
        <w:t xml:space="preserve">etlu odredbi </w:t>
      </w:r>
      <w:r w:rsidR="00FB236D">
        <w:rPr>
          <w:lang w:val="sr-Latn-RS"/>
        </w:rPr>
        <w:t>Lanzarote k</w:t>
      </w:r>
      <w:r w:rsidRPr="00A84443">
        <w:rPr>
          <w:lang w:val="sr-Latn-RS"/>
        </w:rPr>
        <w:t xml:space="preserve">onvencije </w:t>
      </w:r>
      <w:r w:rsidR="0012473A">
        <w:rPr>
          <w:lang w:val="sr-Latn-RS"/>
        </w:rPr>
        <w:t>Vijeća</w:t>
      </w:r>
      <w:r w:rsidRPr="00A84443">
        <w:rPr>
          <w:lang w:val="sr-Latn-RS"/>
        </w:rPr>
        <w:t xml:space="preserve"> Evrope o zaštiti d</w:t>
      </w:r>
      <w:r w:rsidR="0012473A">
        <w:rPr>
          <w:lang w:val="sr-Latn-RS"/>
        </w:rPr>
        <w:t>j</w:t>
      </w:r>
      <w:r w:rsidRPr="00A84443">
        <w:rPr>
          <w:lang w:val="sr-Latn-RS"/>
        </w:rPr>
        <w:t>ece od seksualn</w:t>
      </w:r>
      <w:r w:rsidR="00FB236D">
        <w:rPr>
          <w:lang w:val="sr-Latn-RS"/>
        </w:rPr>
        <w:t>og iskoriš</w:t>
      </w:r>
      <w:r w:rsidR="0012473A">
        <w:rPr>
          <w:lang w:val="sr-Latn-RS"/>
        </w:rPr>
        <w:t>t</w:t>
      </w:r>
      <w:r w:rsidR="00FB236D">
        <w:rPr>
          <w:lang w:val="sr-Latn-RS"/>
        </w:rPr>
        <w:t xml:space="preserve">avanja </w:t>
      </w:r>
      <w:r w:rsidRPr="00A84443">
        <w:rPr>
          <w:lang w:val="sr-Latn-RS"/>
        </w:rPr>
        <w:t>i seksualnog zlostavljanja, radi prijavljivanja nasilja, maltretiranja i seksualnog zlostavljanja tokom ove pandemije</w:t>
      </w:r>
      <w:r w:rsidR="00EF6D9D">
        <w:rPr>
          <w:rStyle w:val="FootnoteReference"/>
          <w:lang w:val="sr-Latn-RS"/>
        </w:rPr>
        <w:footnoteReference w:id="38"/>
      </w:r>
      <w:r w:rsidR="00387B35" w:rsidRPr="00A84443">
        <w:rPr>
          <w:lang w:val="sr-Latn-RS"/>
        </w:rPr>
        <w:t>.</w:t>
      </w:r>
    </w:p>
    <w:p w14:paraId="7F5A3684" w14:textId="77777777" w:rsidR="00047EA6" w:rsidRPr="00A84443" w:rsidRDefault="00047EA6">
      <w:pPr>
        <w:pStyle w:val="BodyText"/>
        <w:spacing w:before="4"/>
        <w:rPr>
          <w:sz w:val="23"/>
          <w:lang w:val="sr-Latn-RS"/>
        </w:rPr>
      </w:pPr>
    </w:p>
    <w:p w14:paraId="42EA6302" w14:textId="5C97D7DD" w:rsidR="00047EA6" w:rsidRPr="00A84443" w:rsidRDefault="00D942F2">
      <w:pPr>
        <w:pStyle w:val="BodyText"/>
        <w:spacing w:line="235" w:lineRule="auto"/>
        <w:ind w:left="117" w:right="424"/>
        <w:jc w:val="both"/>
        <w:rPr>
          <w:sz w:val="14"/>
          <w:lang w:val="sr-Latn-RS"/>
        </w:rPr>
      </w:pPr>
      <w:r w:rsidRPr="00A84443">
        <w:rPr>
          <w:lang w:val="sr-Latn-RS"/>
        </w:rPr>
        <w:t xml:space="preserve">Žrtve trgovine ljudima mogu da se nađu u položaju još veće </w:t>
      </w:r>
      <w:r w:rsidR="00A84443" w:rsidRPr="00A84443">
        <w:rPr>
          <w:lang w:val="sr-Latn-RS"/>
        </w:rPr>
        <w:t>ugroženosti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usl</w:t>
      </w:r>
      <w:r w:rsidR="0012473A">
        <w:rPr>
          <w:lang w:val="sr-Latn-RS"/>
        </w:rPr>
        <w:t>j</w:t>
      </w:r>
      <w:r w:rsidRPr="00A84443">
        <w:rPr>
          <w:lang w:val="sr-Latn-RS"/>
        </w:rPr>
        <w:t xml:space="preserve">ed ograničenih kapaciteta </w:t>
      </w:r>
      <w:r w:rsidR="009356E1">
        <w:rPr>
          <w:lang w:val="sr-Latn-RS"/>
        </w:rPr>
        <w:t xml:space="preserve">policije </w:t>
      </w:r>
      <w:r w:rsidRPr="00A84443">
        <w:rPr>
          <w:lang w:val="sr-Latn-RS"/>
        </w:rPr>
        <w:t>i službi koje im pružaju podršku, kao što su</w:t>
      </w:r>
      <w:r w:rsidR="00812F69">
        <w:rPr>
          <w:lang w:val="sr-Latn-RS"/>
        </w:rPr>
        <w:t xml:space="preserve"> prihvatilišta</w:t>
      </w:r>
      <w:r w:rsidR="00EF6D9D">
        <w:rPr>
          <w:rStyle w:val="FootnoteReference"/>
          <w:lang w:val="sr-Latn-RS"/>
        </w:rPr>
        <w:footnoteReference w:id="39"/>
      </w:r>
      <w:r w:rsidR="00387B35" w:rsidRPr="00A84443">
        <w:rPr>
          <w:lang w:val="sr-Latn-RS"/>
        </w:rPr>
        <w:t>.</w:t>
      </w:r>
    </w:p>
    <w:p w14:paraId="34E523B6" w14:textId="77777777" w:rsidR="00047EA6" w:rsidRPr="00A84443" w:rsidRDefault="00047EA6">
      <w:pPr>
        <w:pStyle w:val="BodyText"/>
        <w:rPr>
          <w:lang w:val="sr-Latn-RS"/>
        </w:rPr>
      </w:pPr>
    </w:p>
    <w:p w14:paraId="5597CABE" w14:textId="1C744B98" w:rsidR="00047EA6" w:rsidRPr="00A84443" w:rsidRDefault="00D942F2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 xml:space="preserve">Pošto se </w:t>
      </w:r>
      <w:r w:rsidR="00A84443" w:rsidRPr="00A84443">
        <w:rPr>
          <w:lang w:val="sr-Latn-RS"/>
        </w:rPr>
        <w:t>savremena</w:t>
      </w:r>
      <w:r w:rsidRPr="00A84443">
        <w:rPr>
          <w:lang w:val="sr-Latn-RS"/>
        </w:rPr>
        <w:t xml:space="preserve"> društva više nego ikada rani</w:t>
      </w:r>
      <w:r w:rsidR="005D651E" w:rsidRPr="00A84443">
        <w:rPr>
          <w:lang w:val="sr-Latn-RS"/>
        </w:rPr>
        <w:t>j</w:t>
      </w:r>
      <w:r w:rsidRPr="00A84443">
        <w:rPr>
          <w:lang w:val="sr-Latn-RS"/>
        </w:rPr>
        <w:t>e oslanjaju na kompjuterske sisteme, u vremenima krize zlonam</w:t>
      </w:r>
      <w:r w:rsidR="0012473A">
        <w:rPr>
          <w:lang w:val="sr-Latn-RS"/>
        </w:rPr>
        <w:t>j</w:t>
      </w:r>
      <w:r w:rsidRPr="00A84443">
        <w:rPr>
          <w:lang w:val="sr-Latn-RS"/>
        </w:rPr>
        <w:t>erni akteri mogu još i više da</w:t>
      </w:r>
      <w:r w:rsidR="00D21F07" w:rsidRPr="00A84443">
        <w:rPr>
          <w:lang w:val="sr-Latn-RS"/>
        </w:rPr>
        <w:t xml:space="preserve"> eksploati</w:t>
      </w:r>
      <w:r w:rsidR="0012473A">
        <w:rPr>
          <w:lang w:val="sr-Latn-RS"/>
        </w:rPr>
        <w:t>raju</w:t>
      </w:r>
      <w:r w:rsidR="00D21F07" w:rsidRPr="00A84443">
        <w:rPr>
          <w:lang w:val="sr-Latn-RS"/>
        </w:rPr>
        <w:t xml:space="preserve"> ovakvo oslanjanje za ostvarivanje lične koristi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>šeme prevara, „fišing“ napadi, distribui</w:t>
      </w:r>
      <w:r w:rsidR="0012473A">
        <w:rPr>
          <w:lang w:val="sr-Latn-RS"/>
        </w:rPr>
        <w:t>ranje</w:t>
      </w:r>
      <w:r w:rsidRPr="00A84443">
        <w:rPr>
          <w:lang w:val="sr-Latn-RS"/>
        </w:rPr>
        <w:t xml:space="preserve"> zlonam</w:t>
      </w:r>
      <w:r w:rsidR="0012473A">
        <w:rPr>
          <w:lang w:val="sr-Latn-RS"/>
        </w:rPr>
        <w:t>j</w:t>
      </w:r>
      <w:r w:rsidRPr="00A84443">
        <w:rPr>
          <w:lang w:val="sr-Latn-RS"/>
        </w:rPr>
        <w:t>ernih softvera (malvera) koriš</w:t>
      </w:r>
      <w:r w:rsidR="0012473A">
        <w:rPr>
          <w:lang w:val="sr-Latn-RS"/>
        </w:rPr>
        <w:t>t</w:t>
      </w:r>
      <w:r w:rsidRPr="00A84443">
        <w:rPr>
          <w:lang w:val="sr-Latn-RS"/>
        </w:rPr>
        <w:t>enjem naizgled autentičnih internet stranica za informacije i sav</w:t>
      </w:r>
      <w:r w:rsidR="0012473A">
        <w:rPr>
          <w:lang w:val="sr-Latn-RS"/>
        </w:rPr>
        <w:t>j</w:t>
      </w:r>
      <w:r w:rsidRPr="00A84443">
        <w:rPr>
          <w:lang w:val="sr-Latn-RS"/>
        </w:rPr>
        <w:t xml:space="preserve">ete o </w:t>
      </w:r>
      <w:r w:rsidR="00387B35" w:rsidRPr="00A84443">
        <w:rPr>
          <w:lang w:val="sr-Latn-RS"/>
        </w:rPr>
        <w:t>COVID-19</w:t>
      </w:r>
      <w:r w:rsidR="00387B35" w:rsidRPr="00A84443">
        <w:rPr>
          <w:spacing w:val="-4"/>
          <w:lang w:val="sr-Latn-RS"/>
        </w:rPr>
        <w:t xml:space="preserve"> </w:t>
      </w:r>
      <w:r w:rsidRPr="00A84443">
        <w:rPr>
          <w:spacing w:val="-4"/>
          <w:lang w:val="sr-Latn-RS"/>
        </w:rPr>
        <w:t>koje koriste za inficiranje kompjutera, izvlačenje korisničkih podataka ili prevarnih plaćanja</w:t>
      </w:r>
      <w:r w:rsidR="00387B35" w:rsidRPr="00A84443">
        <w:rPr>
          <w:lang w:val="sr-Latn-RS"/>
        </w:rPr>
        <w:t>).</w:t>
      </w:r>
      <w:r w:rsidR="00387B35" w:rsidRPr="00A84443">
        <w:rPr>
          <w:spacing w:val="-15"/>
          <w:lang w:val="sr-Latn-RS"/>
        </w:rPr>
        <w:t xml:space="preserve"> </w:t>
      </w:r>
      <w:r w:rsidRPr="00A84443">
        <w:rPr>
          <w:lang w:val="sr-Latn-RS"/>
        </w:rPr>
        <w:t>D</w:t>
      </w:r>
      <w:r w:rsidR="0012473A">
        <w:rPr>
          <w:lang w:val="sr-Latn-RS"/>
        </w:rPr>
        <w:t>j</w:t>
      </w:r>
      <w:r w:rsidRPr="00A84443">
        <w:rPr>
          <w:lang w:val="sr-Latn-RS"/>
        </w:rPr>
        <w:t>eca nisu izuzeta od rizika u sajber prostoru a sa zatvaranjem škola, njihovo</w:t>
      </w:r>
      <w:r w:rsidR="0012473A">
        <w:rPr>
          <w:lang w:val="sr-Latn-RS"/>
        </w:rPr>
        <w:t xml:space="preserve"> češće</w:t>
      </w:r>
      <w:r w:rsidRPr="00A84443">
        <w:rPr>
          <w:lang w:val="sr-Latn-RS"/>
        </w:rPr>
        <w:t xml:space="preserve"> kori</w:t>
      </w:r>
      <w:r w:rsidR="0012473A">
        <w:rPr>
          <w:lang w:val="sr-Latn-RS"/>
        </w:rPr>
        <w:t>št</w:t>
      </w:r>
      <w:r w:rsidRPr="00A84443">
        <w:rPr>
          <w:lang w:val="sr-Latn-RS"/>
        </w:rPr>
        <w:t>enje interneta i društvenih mreža utiče na njihovu bezb</w:t>
      </w:r>
      <w:r w:rsidR="0012473A">
        <w:rPr>
          <w:lang w:val="sr-Latn-RS"/>
        </w:rPr>
        <w:t>j</w:t>
      </w:r>
      <w:r w:rsidRPr="00A84443">
        <w:rPr>
          <w:lang w:val="sr-Latn-RS"/>
        </w:rPr>
        <w:t>ednost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Nadalje, izbijanje k</w:t>
      </w:r>
      <w:r w:rsidR="00387B35" w:rsidRPr="00A84443">
        <w:rPr>
          <w:color w:val="161616"/>
          <w:lang w:val="sr-Latn-RS"/>
        </w:rPr>
        <w:t>oronavirus</w:t>
      </w:r>
      <w:r w:rsidRPr="00A84443">
        <w:rPr>
          <w:color w:val="161616"/>
          <w:lang w:val="sr-Latn-RS"/>
        </w:rPr>
        <w:t>a je nažalost ponudilo nove prilike kriminalcima da iskoriste povećanu potražnju za medicinskim sredstvima, sredstvima za ličnu zaštitu i higijenskim proizvodima</w:t>
      </w:r>
      <w:r w:rsidR="00387B35" w:rsidRPr="00A84443">
        <w:rPr>
          <w:color w:val="161616"/>
          <w:lang w:val="sr-Latn-RS"/>
        </w:rPr>
        <w:t xml:space="preserve">. </w:t>
      </w:r>
      <w:r w:rsidR="00387B35" w:rsidRPr="00A84443">
        <w:rPr>
          <w:lang w:val="sr-Latn-RS"/>
        </w:rPr>
        <w:t>T</w:t>
      </w:r>
      <w:r w:rsidRPr="00A84443">
        <w:rPr>
          <w:lang w:val="sr-Latn-RS"/>
        </w:rPr>
        <w:t>o uključuje krivotvorena medicinska sredstva, kao na prim</w:t>
      </w:r>
      <w:r w:rsidR="0012473A">
        <w:rPr>
          <w:lang w:val="sr-Latn-RS"/>
        </w:rPr>
        <w:t>ij</w:t>
      </w:r>
      <w:r w:rsidRPr="00A84443">
        <w:rPr>
          <w:lang w:val="sr-Latn-RS"/>
        </w:rPr>
        <w:t xml:space="preserve">er pribor za testiranje na </w:t>
      </w:r>
      <w:r w:rsidR="00387B35" w:rsidRPr="00A84443">
        <w:rPr>
          <w:lang w:val="sr-Latn-RS"/>
        </w:rPr>
        <w:t>COVID-19,</w:t>
      </w:r>
      <w:r w:rsidR="00387B35" w:rsidRPr="00A84443">
        <w:rPr>
          <w:spacing w:val="-7"/>
          <w:lang w:val="sr-Latn-RS"/>
        </w:rPr>
        <w:t xml:space="preserve"> </w:t>
      </w:r>
      <w:r w:rsidRPr="00A84443">
        <w:rPr>
          <w:spacing w:val="-7"/>
          <w:lang w:val="sr-Latn-RS"/>
        </w:rPr>
        <w:t>koji se nud</w:t>
      </w:r>
      <w:r w:rsidR="0012473A">
        <w:rPr>
          <w:spacing w:val="-7"/>
          <w:lang w:val="sr-Latn-RS"/>
        </w:rPr>
        <w:t>i</w:t>
      </w:r>
      <w:r w:rsidRPr="00A84443">
        <w:rPr>
          <w:spacing w:val="-7"/>
          <w:lang w:val="sr-Latn-RS"/>
        </w:rPr>
        <w:t xml:space="preserve"> i preko interneta i izvan njega</w:t>
      </w:r>
      <w:r w:rsidR="00387B35" w:rsidRPr="00A84443">
        <w:rPr>
          <w:lang w:val="sr-Latn-RS"/>
        </w:rPr>
        <w:t>.</w:t>
      </w:r>
      <w:r w:rsidR="00387B35" w:rsidRPr="00A84443">
        <w:rPr>
          <w:spacing w:val="-5"/>
          <w:lang w:val="sr-Latn-RS"/>
        </w:rPr>
        <w:t xml:space="preserve"> </w:t>
      </w:r>
      <w:r w:rsidRPr="00A84443">
        <w:rPr>
          <w:spacing w:val="-5"/>
          <w:lang w:val="sr-Latn-RS"/>
        </w:rPr>
        <w:t>Proizvodnja i distribucija falsifikovanih medicinskih sredstava predstavlja značajan rizik po javno zdravlje i ugrožava pravo na život i pravo n</w:t>
      </w:r>
      <w:r w:rsidR="001A304B" w:rsidRPr="00A84443">
        <w:rPr>
          <w:spacing w:val="-5"/>
          <w:lang w:val="sr-Latn-RS"/>
        </w:rPr>
        <w:t>a</w:t>
      </w:r>
      <w:r w:rsidRPr="00A84443">
        <w:rPr>
          <w:spacing w:val="-5"/>
          <w:lang w:val="sr-Latn-RS"/>
        </w:rPr>
        <w:t xml:space="preserve"> zdravlje. </w:t>
      </w:r>
    </w:p>
    <w:p w14:paraId="3B49BBC2" w14:textId="77777777" w:rsidR="00047EA6" w:rsidRPr="00A84443" w:rsidRDefault="00047EA6" w:rsidP="00103890">
      <w:pPr>
        <w:spacing w:before="72" w:line="186" w:lineRule="exact"/>
        <w:ind w:left="117"/>
        <w:jc w:val="both"/>
        <w:rPr>
          <w:sz w:val="16"/>
          <w:lang w:val="sr-Latn-RS"/>
        </w:rPr>
      </w:pPr>
    </w:p>
    <w:p w14:paraId="16B4C810" w14:textId="020FA25D" w:rsidR="00047EA6" w:rsidRPr="00A84443" w:rsidRDefault="001A304B">
      <w:pPr>
        <w:pStyle w:val="BodyText"/>
        <w:spacing w:before="94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Potrebno je da se organi krivičnog pravosuđa angažuju na punoj saradnji u otkrivanju, sprovođenju istraga, utvrđivanju počinilaca i krivičnom gonjenju kod ovakvih krivičnih d</w:t>
      </w:r>
      <w:r w:rsidR="00842165">
        <w:rPr>
          <w:lang w:val="sr-Latn-RS"/>
        </w:rPr>
        <w:t>j</w:t>
      </w:r>
      <w:r w:rsidRPr="00A84443">
        <w:rPr>
          <w:lang w:val="sr-Latn-RS"/>
        </w:rPr>
        <w:t>ela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U okviru konvencija </w:t>
      </w:r>
      <w:r w:rsidR="00842165">
        <w:rPr>
          <w:lang w:val="sr-Latn-RS"/>
        </w:rPr>
        <w:t>Vijeća</w:t>
      </w:r>
      <w:r w:rsidRPr="00A84443">
        <w:rPr>
          <w:lang w:val="sr-Latn-RS"/>
        </w:rPr>
        <w:t xml:space="preserve"> Evrope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>Konvencija protiv visokotehnološkog kriminala</w:t>
      </w:r>
      <w:r w:rsidR="00387B35" w:rsidRPr="00A84443">
        <w:rPr>
          <w:lang w:val="sr-Latn-RS"/>
        </w:rPr>
        <w:t xml:space="preserve"> (Bud</w:t>
      </w:r>
      <w:r w:rsidRPr="00A84443">
        <w:rPr>
          <w:lang w:val="sr-Latn-RS"/>
        </w:rPr>
        <w:t>impeštanska Konvencija</w:t>
      </w:r>
      <w:r w:rsidR="00387B35" w:rsidRPr="00A84443">
        <w:rPr>
          <w:lang w:val="sr-Latn-RS"/>
        </w:rPr>
        <w:t xml:space="preserve">), </w:t>
      </w:r>
      <w:r w:rsidRPr="00A84443">
        <w:rPr>
          <w:lang w:val="sr-Latn-RS"/>
        </w:rPr>
        <w:t xml:space="preserve">Konvencija </w:t>
      </w:r>
      <w:r w:rsidR="00387B35" w:rsidRPr="00A84443">
        <w:rPr>
          <w:lang w:val="sr-Latn-RS"/>
        </w:rPr>
        <w:t>MEDICRIME</w:t>
      </w:r>
      <w:r w:rsidR="00314544">
        <w:rPr>
          <w:rStyle w:val="FootnoteReference"/>
          <w:lang w:val="sr-Latn-RS"/>
        </w:rPr>
        <w:footnoteReference w:id="40"/>
      </w:r>
      <w:r w:rsidRPr="00A84443">
        <w:rPr>
          <w:lang w:val="sr-Latn-RS"/>
        </w:rPr>
        <w:t>, Konvencija L</w:t>
      </w:r>
      <w:r w:rsidR="00387B35" w:rsidRPr="00A84443">
        <w:rPr>
          <w:lang w:val="sr-Latn-RS"/>
        </w:rPr>
        <w:t xml:space="preserve">anzarote </w:t>
      </w:r>
      <w:r w:rsidR="00FF25F7">
        <w:rPr>
          <w:lang w:val="sr-Latn-RS"/>
        </w:rPr>
        <w:t>za</w:t>
      </w:r>
      <w:r w:rsidRPr="00A84443">
        <w:rPr>
          <w:lang w:val="sr-Latn-RS"/>
        </w:rPr>
        <w:t xml:space="preserve"> zaštit</w:t>
      </w:r>
      <w:r w:rsidR="00FF25F7">
        <w:rPr>
          <w:lang w:val="sr-Latn-RS"/>
        </w:rPr>
        <w:t xml:space="preserve">u </w:t>
      </w:r>
      <w:r w:rsidRPr="00A84443">
        <w:rPr>
          <w:lang w:val="sr-Latn-RS"/>
        </w:rPr>
        <w:t>d</w:t>
      </w:r>
      <w:r w:rsidR="00842165">
        <w:rPr>
          <w:lang w:val="sr-Latn-RS"/>
        </w:rPr>
        <w:t>j</w:t>
      </w:r>
      <w:r w:rsidRPr="00A84443">
        <w:rPr>
          <w:lang w:val="sr-Latn-RS"/>
        </w:rPr>
        <w:t xml:space="preserve">ece od </w:t>
      </w:r>
      <w:r w:rsidR="00387B35" w:rsidRPr="00A84443">
        <w:rPr>
          <w:lang w:val="sr-Latn-RS"/>
        </w:rPr>
        <w:t>se</w:t>
      </w:r>
      <w:r w:rsidRPr="00A84443">
        <w:rPr>
          <w:lang w:val="sr-Latn-RS"/>
        </w:rPr>
        <w:t>ksualn</w:t>
      </w:r>
      <w:r w:rsidR="00FF25F7">
        <w:rPr>
          <w:lang w:val="sr-Latn-RS"/>
        </w:rPr>
        <w:t>og iskorišćavanja</w:t>
      </w:r>
      <w:r w:rsidRPr="00A84443">
        <w:rPr>
          <w:lang w:val="sr-Latn-RS"/>
        </w:rPr>
        <w:t xml:space="preserve"> i zlostavljanja)</w:t>
      </w:r>
      <w:r w:rsidR="00387B35" w:rsidRPr="00A84443">
        <w:rPr>
          <w:lang w:val="sr-Latn-RS"/>
        </w:rPr>
        <w:t xml:space="preserve"> </w:t>
      </w:r>
      <w:r w:rsidR="00D21F07" w:rsidRPr="00A84443">
        <w:rPr>
          <w:lang w:val="sr-Latn-RS"/>
        </w:rPr>
        <w:t xml:space="preserve">navodi se </w:t>
      </w:r>
      <w:r w:rsidRPr="00A84443">
        <w:rPr>
          <w:lang w:val="sr-Latn-RS"/>
        </w:rPr>
        <w:t>da strane ugovornice ostvaruju blisku saradnju radi unapređenja odredbi svog krivičnog zakonodavstva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proceduralnih ovlaš</w:t>
      </w:r>
      <w:r w:rsidR="00E54599">
        <w:rPr>
          <w:lang w:val="sr-Latn-RS"/>
        </w:rPr>
        <w:t>t</w:t>
      </w:r>
      <w:r w:rsidRPr="00A84443">
        <w:rPr>
          <w:lang w:val="sr-Latn-RS"/>
        </w:rPr>
        <w:t>enja, kao i međunarodn</w:t>
      </w:r>
      <w:r w:rsidR="00842165">
        <w:rPr>
          <w:lang w:val="sr-Latn-RS"/>
        </w:rPr>
        <w:t>e</w:t>
      </w:r>
      <w:r w:rsidRPr="00A84443">
        <w:rPr>
          <w:lang w:val="sr-Latn-RS"/>
        </w:rPr>
        <w:t xml:space="preserve"> saradnj</w:t>
      </w:r>
      <w:r w:rsidR="00842165">
        <w:rPr>
          <w:lang w:val="sr-Latn-RS"/>
        </w:rPr>
        <w:t>e</w:t>
      </w:r>
      <w:r w:rsidRPr="00A84443">
        <w:rPr>
          <w:lang w:val="sr-Latn-RS"/>
        </w:rPr>
        <w:t xml:space="preserve"> neophodn</w:t>
      </w:r>
      <w:r w:rsidR="00842165">
        <w:rPr>
          <w:lang w:val="sr-Latn-RS"/>
        </w:rPr>
        <w:t>e</w:t>
      </w:r>
      <w:r w:rsidRPr="00A84443">
        <w:rPr>
          <w:lang w:val="sr-Latn-RS"/>
        </w:rPr>
        <w:t xml:space="preserve"> za borbu protiv ovih pr</w:t>
      </w:r>
      <w:r w:rsidR="00842165">
        <w:rPr>
          <w:lang w:val="sr-Latn-RS"/>
        </w:rPr>
        <w:t>ij</w:t>
      </w:r>
      <w:r w:rsidRPr="00A84443">
        <w:rPr>
          <w:lang w:val="sr-Latn-RS"/>
        </w:rPr>
        <w:t>etnji</w:t>
      </w:r>
      <w:r w:rsidR="00387B35" w:rsidRPr="00A84443">
        <w:rPr>
          <w:lang w:val="sr-Latn-RS"/>
        </w:rPr>
        <w:t>.</w:t>
      </w:r>
    </w:p>
    <w:p w14:paraId="306BC556" w14:textId="77777777" w:rsidR="00047EA6" w:rsidRPr="00A84443" w:rsidRDefault="00047EA6">
      <w:pPr>
        <w:pStyle w:val="BodyText"/>
        <w:spacing w:before="8"/>
        <w:rPr>
          <w:sz w:val="21"/>
          <w:lang w:val="sr-Latn-RS"/>
        </w:rPr>
      </w:pPr>
    </w:p>
    <w:p w14:paraId="317E3E93" w14:textId="43B2148F" w:rsidR="00047EA6" w:rsidRPr="00A84443" w:rsidRDefault="001A304B">
      <w:pPr>
        <w:pStyle w:val="Heading2"/>
        <w:numPr>
          <w:ilvl w:val="0"/>
          <w:numId w:val="1"/>
        </w:numPr>
        <w:tabs>
          <w:tab w:val="left" w:pos="839"/>
        </w:tabs>
        <w:spacing w:before="1"/>
        <w:ind w:hanging="361"/>
        <w:rPr>
          <w:lang w:val="sr-Latn-RS"/>
        </w:rPr>
      </w:pPr>
      <w:r w:rsidRPr="00A84443">
        <w:rPr>
          <w:lang w:val="sr-Latn-RS"/>
        </w:rPr>
        <w:t>Sl</w:t>
      </w:r>
      <w:r w:rsidR="00842165">
        <w:rPr>
          <w:lang w:val="sr-Latn-RS"/>
        </w:rPr>
        <w:t>j</w:t>
      </w:r>
      <w:r w:rsidRPr="00A84443">
        <w:rPr>
          <w:lang w:val="sr-Latn-RS"/>
        </w:rPr>
        <w:t>edeći koraci</w:t>
      </w:r>
      <w:r w:rsidR="00387B35" w:rsidRPr="00A84443">
        <w:rPr>
          <w:lang w:val="sr-Latn-RS"/>
        </w:rPr>
        <w:t xml:space="preserve">: </w:t>
      </w:r>
      <w:r w:rsidR="00842165">
        <w:rPr>
          <w:lang w:val="sr-Latn-RS"/>
        </w:rPr>
        <w:t>Vijeće</w:t>
      </w:r>
      <w:r w:rsidRPr="00A84443">
        <w:rPr>
          <w:lang w:val="sr-Latn-RS"/>
        </w:rPr>
        <w:t xml:space="preserve"> Evrope je relevantnij</w:t>
      </w:r>
      <w:r w:rsidR="00842165">
        <w:rPr>
          <w:lang w:val="sr-Latn-RS"/>
        </w:rPr>
        <w:t xml:space="preserve">e </w:t>
      </w:r>
      <w:r w:rsidRPr="00A84443">
        <w:rPr>
          <w:lang w:val="sr-Latn-RS"/>
        </w:rPr>
        <w:t>nego ikada pr</w:t>
      </w:r>
      <w:r w:rsidR="00842165">
        <w:rPr>
          <w:lang w:val="sr-Latn-RS"/>
        </w:rPr>
        <w:t>ije</w:t>
      </w:r>
    </w:p>
    <w:p w14:paraId="53334812" w14:textId="77777777" w:rsidR="00047EA6" w:rsidRPr="00A84443" w:rsidRDefault="00047EA6">
      <w:pPr>
        <w:pStyle w:val="BodyText"/>
        <w:rPr>
          <w:b/>
          <w:lang w:val="sr-Latn-RS"/>
        </w:rPr>
      </w:pPr>
    </w:p>
    <w:p w14:paraId="7160BCFE" w14:textId="49998559" w:rsidR="00047EA6" w:rsidRPr="00A84443" w:rsidRDefault="00842165">
      <w:pPr>
        <w:pStyle w:val="BodyText"/>
        <w:ind w:left="117" w:right="413"/>
        <w:jc w:val="both"/>
        <w:rPr>
          <w:lang w:val="sr-Latn-RS"/>
        </w:rPr>
      </w:pPr>
      <w:r>
        <w:rPr>
          <w:lang w:val="sr-Latn-RS"/>
        </w:rPr>
        <w:t>Vijeće</w:t>
      </w:r>
      <w:r w:rsidR="00485AC6" w:rsidRPr="00A84443">
        <w:rPr>
          <w:lang w:val="sr-Latn-RS"/>
        </w:rPr>
        <w:t xml:space="preserve"> Evrope je osnovan</w:t>
      </w:r>
      <w:r>
        <w:rPr>
          <w:lang w:val="sr-Latn-RS"/>
        </w:rPr>
        <w:t>o</w:t>
      </w:r>
      <w:r w:rsidR="00485AC6" w:rsidRPr="00A84443">
        <w:rPr>
          <w:lang w:val="sr-Latn-RS"/>
        </w:rPr>
        <w:t xml:space="preserve"> radi ponovnog uspostavljanja trajnog mira u Evropi nakon najkatastrofalnijeg rata koji je u Evropi vođen.</w:t>
      </w:r>
      <w:r w:rsidR="00387B35" w:rsidRPr="00A84443">
        <w:rPr>
          <w:lang w:val="sr-Latn-RS"/>
        </w:rPr>
        <w:t xml:space="preserve"> </w:t>
      </w:r>
      <w:r w:rsidR="00314544">
        <w:rPr>
          <w:lang w:val="sr-Latn-RS"/>
        </w:rPr>
        <w:t>U tome</w:t>
      </w:r>
      <w:r w:rsidR="00485AC6" w:rsidRPr="00A84443">
        <w:rPr>
          <w:lang w:val="sr-Latn-RS"/>
        </w:rPr>
        <w:t xml:space="preserve"> je u velikoj m</w:t>
      </w:r>
      <w:r>
        <w:rPr>
          <w:lang w:val="sr-Latn-RS"/>
        </w:rPr>
        <w:t>j</w:t>
      </w:r>
      <w:r w:rsidR="00485AC6" w:rsidRPr="00A84443">
        <w:rPr>
          <w:lang w:val="sr-Latn-RS"/>
        </w:rPr>
        <w:t>eri usp</w:t>
      </w:r>
      <w:r>
        <w:rPr>
          <w:lang w:val="sr-Latn-RS"/>
        </w:rPr>
        <w:t>jelo</w:t>
      </w:r>
      <w:r w:rsidR="00485AC6" w:rsidRPr="00A84443">
        <w:rPr>
          <w:lang w:val="sr-Latn-RS"/>
        </w:rPr>
        <w:t xml:space="preserve"> tako što je tokom svog 70-godišnjeg postojanja posta</w:t>
      </w:r>
      <w:r>
        <w:rPr>
          <w:lang w:val="sr-Latn-RS"/>
        </w:rPr>
        <w:t>lo</w:t>
      </w:r>
      <w:r w:rsidR="00485AC6"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>pan-</w:t>
      </w:r>
      <w:r w:rsidR="00485AC6" w:rsidRPr="00A84443">
        <w:rPr>
          <w:lang w:val="sr-Latn-RS"/>
        </w:rPr>
        <w:t xml:space="preserve">evropska </w:t>
      </w:r>
      <w:r w:rsidR="00387B35" w:rsidRPr="00A84443">
        <w:rPr>
          <w:lang w:val="sr-Latn-RS"/>
        </w:rPr>
        <w:t>organi</w:t>
      </w:r>
      <w:r w:rsidR="00485AC6" w:rsidRPr="00A84443">
        <w:rPr>
          <w:lang w:val="sr-Latn-RS"/>
        </w:rPr>
        <w:t xml:space="preserve">zacija sa jedinstvenim </w:t>
      </w:r>
      <w:r w:rsidR="00387B35" w:rsidRPr="00A84443">
        <w:rPr>
          <w:lang w:val="sr-Latn-RS"/>
        </w:rPr>
        <w:t>institu</w:t>
      </w:r>
      <w:r w:rsidR="00485AC6" w:rsidRPr="00A84443">
        <w:rPr>
          <w:lang w:val="sr-Latn-RS"/>
        </w:rPr>
        <w:t>cijama koje postavljaju prim</w:t>
      </w:r>
      <w:r>
        <w:rPr>
          <w:lang w:val="sr-Latn-RS"/>
        </w:rPr>
        <w:t>ij</w:t>
      </w:r>
      <w:r w:rsidR="00485AC6" w:rsidRPr="00A84443">
        <w:rPr>
          <w:lang w:val="sr-Latn-RS"/>
        </w:rPr>
        <w:t>er za c</w:t>
      </w:r>
      <w:r>
        <w:rPr>
          <w:lang w:val="sr-Latn-RS"/>
        </w:rPr>
        <w:t>ijeli</w:t>
      </w:r>
      <w:r w:rsidR="00485AC6" w:rsidRPr="00A84443">
        <w:rPr>
          <w:lang w:val="sr-Latn-RS"/>
        </w:rPr>
        <w:t xml:space="preserve"> sv</w:t>
      </w:r>
      <w:r>
        <w:rPr>
          <w:lang w:val="sr-Latn-RS"/>
        </w:rPr>
        <w:t>ij</w:t>
      </w:r>
      <w:r w:rsidR="00485AC6" w:rsidRPr="00A84443">
        <w:rPr>
          <w:lang w:val="sr-Latn-RS"/>
        </w:rPr>
        <w:t>et</w:t>
      </w:r>
      <w:r w:rsidR="00387B35" w:rsidRPr="00A84443">
        <w:rPr>
          <w:lang w:val="sr-Latn-RS"/>
        </w:rPr>
        <w:t xml:space="preserve">. </w:t>
      </w:r>
      <w:r w:rsidR="00485AC6" w:rsidRPr="00A84443">
        <w:rPr>
          <w:lang w:val="sr-Latn-RS"/>
        </w:rPr>
        <w:t>Izazov</w:t>
      </w:r>
      <w:r w:rsidR="00D21F07" w:rsidRPr="00A84443">
        <w:rPr>
          <w:lang w:val="sr-Latn-RS"/>
        </w:rPr>
        <w:t>i</w:t>
      </w:r>
      <w:r w:rsidR="00485AC6" w:rsidRPr="00A84443">
        <w:rPr>
          <w:lang w:val="sr-Latn-RS"/>
        </w:rPr>
        <w:t xml:space="preserve"> sa kojim se naša društva trenutno suočavaju su bez presedana</w:t>
      </w:r>
      <w:r w:rsidR="00387B35" w:rsidRPr="00A84443">
        <w:rPr>
          <w:lang w:val="sr-Latn-RS"/>
        </w:rPr>
        <w:t>.</w:t>
      </w:r>
      <w:r w:rsidR="00387B35" w:rsidRPr="00A84443">
        <w:rPr>
          <w:spacing w:val="-3"/>
          <w:lang w:val="sr-Latn-RS"/>
        </w:rPr>
        <w:t xml:space="preserve"> </w:t>
      </w:r>
      <w:r w:rsidR="00485AC6" w:rsidRPr="00A84443">
        <w:rPr>
          <w:spacing w:val="-3"/>
          <w:lang w:val="sr-Latn-RS"/>
        </w:rPr>
        <w:t>Čak i nakon akutne faze krize, naša društva će morati da izna</w:t>
      </w:r>
      <w:r w:rsidR="00314544">
        <w:rPr>
          <w:spacing w:val="-3"/>
          <w:lang w:val="sr-Latn-RS"/>
        </w:rPr>
        <w:t>đu</w:t>
      </w:r>
      <w:r w:rsidR="00485AC6" w:rsidRPr="00A84443">
        <w:rPr>
          <w:spacing w:val="-3"/>
          <w:lang w:val="sr-Latn-RS"/>
        </w:rPr>
        <w:t xml:space="preserve"> načine da poprave društvenu i ekonomsku štetu i dalje osnažuju pov</w:t>
      </w:r>
      <w:r>
        <w:rPr>
          <w:spacing w:val="-3"/>
          <w:lang w:val="sr-Latn-RS"/>
        </w:rPr>
        <w:t>j</w:t>
      </w:r>
      <w:r w:rsidR="00485AC6" w:rsidRPr="00A84443">
        <w:rPr>
          <w:spacing w:val="-3"/>
          <w:lang w:val="sr-Latn-RS"/>
        </w:rPr>
        <w:t>erenje u naše demokratske institucije</w:t>
      </w:r>
      <w:r w:rsidR="00387B35" w:rsidRPr="00A84443">
        <w:rPr>
          <w:lang w:val="sr-Latn-RS"/>
        </w:rPr>
        <w:t xml:space="preserve">. </w:t>
      </w:r>
      <w:r w:rsidR="00485AC6" w:rsidRPr="00A84443">
        <w:rPr>
          <w:lang w:val="sr-Latn-RS"/>
        </w:rPr>
        <w:t xml:space="preserve">Između ostalog, biće neophodno </w:t>
      </w:r>
      <w:r w:rsidR="00A84443" w:rsidRPr="00A84443">
        <w:rPr>
          <w:lang w:val="sr-Latn-RS"/>
        </w:rPr>
        <w:t>pokrenuti</w:t>
      </w:r>
      <w:r w:rsidR="00485AC6" w:rsidRPr="00A84443">
        <w:rPr>
          <w:lang w:val="sr-Latn-RS"/>
        </w:rPr>
        <w:t xml:space="preserve"> široko ra</w:t>
      </w:r>
      <w:r w:rsidR="00D21F07" w:rsidRPr="00A84443">
        <w:rPr>
          <w:lang w:val="sr-Latn-RS"/>
        </w:rPr>
        <w:t>z</w:t>
      </w:r>
      <w:r w:rsidR="00485AC6" w:rsidRPr="00A84443">
        <w:rPr>
          <w:lang w:val="sr-Latn-RS"/>
        </w:rPr>
        <w:t>matranje o zaštiti najugroženijih pojedinaca i grupa u našim društvima kao i o načinima da se na održiviji način zaštite prava u modelu upravljanja solidarnošću</w:t>
      </w:r>
      <w:r w:rsidR="00387B35" w:rsidRPr="00A84443">
        <w:rPr>
          <w:lang w:val="sr-Latn-RS"/>
        </w:rPr>
        <w:t>.</w:t>
      </w:r>
    </w:p>
    <w:p w14:paraId="273F500A" w14:textId="77777777" w:rsidR="00047EA6" w:rsidRPr="00A84443" w:rsidRDefault="00047EA6">
      <w:pPr>
        <w:pStyle w:val="BodyText"/>
        <w:spacing w:before="10"/>
        <w:rPr>
          <w:sz w:val="21"/>
          <w:lang w:val="sr-Latn-RS"/>
        </w:rPr>
      </w:pPr>
    </w:p>
    <w:p w14:paraId="42EE5B89" w14:textId="6255A170" w:rsidR="00047EA6" w:rsidRPr="00A84443" w:rsidRDefault="00CE1497">
      <w:pPr>
        <w:pStyle w:val="BodyText"/>
        <w:spacing w:before="1"/>
        <w:ind w:left="117" w:right="418"/>
        <w:jc w:val="both"/>
        <w:rPr>
          <w:lang w:val="sr-Latn-RS"/>
        </w:rPr>
      </w:pPr>
      <w:r>
        <w:rPr>
          <w:lang w:val="sr-Latn-RS"/>
        </w:rPr>
        <w:lastRenderedPageBreak/>
        <w:t xml:space="preserve">Vijeće </w:t>
      </w:r>
      <w:r w:rsidR="00485AC6" w:rsidRPr="00A84443">
        <w:rPr>
          <w:lang w:val="sr-Latn-RS"/>
        </w:rPr>
        <w:t>Evrope će i dalje nastojati da uloži sva</w:t>
      </w:r>
      <w:r w:rsidR="00314544">
        <w:rPr>
          <w:lang w:val="sr-Latn-RS"/>
        </w:rPr>
        <w:t xml:space="preserve">ki </w:t>
      </w:r>
      <w:r w:rsidR="00485AC6" w:rsidRPr="00A84443">
        <w:rPr>
          <w:lang w:val="sr-Latn-RS"/>
        </w:rPr>
        <w:t>napor da pruži pomoć svojim članicama tokom trajanja sadašnje krize i nakon njenog okončanja</w:t>
      </w:r>
      <w:r w:rsidR="00387B35" w:rsidRPr="00A84443">
        <w:rPr>
          <w:lang w:val="sr-Latn-RS"/>
        </w:rPr>
        <w:t>.</w:t>
      </w:r>
      <w:r w:rsidR="00387B35" w:rsidRPr="00A84443">
        <w:rPr>
          <w:spacing w:val="-17"/>
          <w:lang w:val="sr-Latn-RS"/>
        </w:rPr>
        <w:t xml:space="preserve"> </w:t>
      </w:r>
      <w:r w:rsidR="00485AC6" w:rsidRPr="00A84443">
        <w:rPr>
          <w:lang w:val="sr-Latn-RS"/>
        </w:rPr>
        <w:t>Širok spektar d</w:t>
      </w:r>
      <w:r>
        <w:rPr>
          <w:lang w:val="sr-Latn-RS"/>
        </w:rPr>
        <w:t>j</w:t>
      </w:r>
      <w:r w:rsidR="00485AC6" w:rsidRPr="00A84443">
        <w:rPr>
          <w:lang w:val="sr-Latn-RS"/>
        </w:rPr>
        <w:t xml:space="preserve">elotvornih pravnih </w:t>
      </w:r>
      <w:r w:rsidR="00F71A41" w:rsidRPr="00A84443">
        <w:rPr>
          <w:lang w:val="sr-Latn-RS"/>
        </w:rPr>
        <w:t>instrumenata</w:t>
      </w:r>
      <w:r w:rsidR="00485AC6" w:rsidRPr="00A84443">
        <w:rPr>
          <w:lang w:val="sr-Latn-RS"/>
        </w:rPr>
        <w:t>, stručnog znanja i široke mreže nacionalnih eksperata predstavljaju vr</w:t>
      </w:r>
      <w:r>
        <w:rPr>
          <w:lang w:val="sr-Latn-RS"/>
        </w:rPr>
        <w:t>ij</w:t>
      </w:r>
      <w:r w:rsidR="00485AC6" w:rsidRPr="00A84443">
        <w:rPr>
          <w:lang w:val="sr-Latn-RS"/>
        </w:rPr>
        <w:t>edne instrumente koji su na raspolaganju vladama i građanima u iznalaženju najboljih i najodrživijih odgovora u zaštiti javnog zdravlja, očuvanju demokratskog tkiva naših društava i ublažavanju društvenih posl</w:t>
      </w:r>
      <w:r>
        <w:rPr>
          <w:lang w:val="sr-Latn-RS"/>
        </w:rPr>
        <w:t>j</w:t>
      </w:r>
      <w:r w:rsidR="00485AC6" w:rsidRPr="00A84443">
        <w:rPr>
          <w:lang w:val="sr-Latn-RS"/>
        </w:rPr>
        <w:t>edica krize</w:t>
      </w:r>
      <w:r w:rsidR="00387B35" w:rsidRPr="00A84443">
        <w:rPr>
          <w:lang w:val="sr-Latn-RS"/>
        </w:rPr>
        <w:t>.</w:t>
      </w:r>
    </w:p>
    <w:p w14:paraId="4D3A70AF" w14:textId="77777777" w:rsidR="00047EA6" w:rsidRPr="00A84443" w:rsidRDefault="00047EA6">
      <w:pPr>
        <w:pStyle w:val="BodyText"/>
        <w:spacing w:before="1"/>
        <w:rPr>
          <w:lang w:val="sr-Latn-RS"/>
        </w:rPr>
      </w:pPr>
    </w:p>
    <w:p w14:paraId="5601C237" w14:textId="23D7954E" w:rsidR="00047EA6" w:rsidRPr="00A84443" w:rsidRDefault="00A91E72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S</w:t>
      </w:r>
      <w:r w:rsidR="00387B35" w:rsidRPr="00A84443">
        <w:rPr>
          <w:lang w:val="sr-Latn-RS"/>
        </w:rPr>
        <w:t>tatut</w:t>
      </w:r>
      <w:r w:rsidRPr="00A84443">
        <w:rPr>
          <w:lang w:val="sr-Latn-RS"/>
        </w:rPr>
        <w:t>arna t</w:t>
      </w:r>
      <w:r w:rsidR="00CE1497">
        <w:rPr>
          <w:lang w:val="sr-Latn-RS"/>
        </w:rPr>
        <w:t>ij</w:t>
      </w:r>
      <w:r w:rsidRPr="00A84443">
        <w:rPr>
          <w:lang w:val="sr-Latn-RS"/>
        </w:rPr>
        <w:t xml:space="preserve">ela, sve institucije </w:t>
      </w:r>
      <w:r w:rsidR="00CE1497">
        <w:rPr>
          <w:lang w:val="sr-Latn-RS"/>
        </w:rPr>
        <w:t>Vijeća</w:t>
      </w:r>
      <w:r w:rsidRPr="00A84443">
        <w:rPr>
          <w:lang w:val="sr-Latn-RS"/>
        </w:rPr>
        <w:t xml:space="preserve"> Evrope i Sekretarijat su mobilisani i neće šted</w:t>
      </w:r>
      <w:r w:rsidR="00CE1497">
        <w:rPr>
          <w:lang w:val="sr-Latn-RS"/>
        </w:rPr>
        <w:t>j</w:t>
      </w:r>
      <w:r w:rsidRPr="00A84443">
        <w:rPr>
          <w:lang w:val="sr-Latn-RS"/>
        </w:rPr>
        <w:t xml:space="preserve">eti truda da iskoriste instrumente i </w:t>
      </w:r>
      <w:r w:rsidR="00F71A41" w:rsidRPr="00A84443">
        <w:rPr>
          <w:lang w:val="sr-Latn-RS"/>
        </w:rPr>
        <w:t>resurse</w:t>
      </w:r>
      <w:r w:rsidRPr="00A84443">
        <w:rPr>
          <w:lang w:val="sr-Latn-RS"/>
        </w:rPr>
        <w:t xml:space="preserve"> ove Organizacije sa ciljem razm</w:t>
      </w:r>
      <w:r w:rsidR="00CE1497">
        <w:rPr>
          <w:lang w:val="sr-Latn-RS"/>
        </w:rPr>
        <w:t>j</w:t>
      </w:r>
      <w:r w:rsidRPr="00A84443">
        <w:rPr>
          <w:lang w:val="sr-Latn-RS"/>
        </w:rPr>
        <w:t>ene informacija, dobre prakse i pouka koje su izvele sve zainteresovane strane, uključujući nadležne organe, civilno društvo i građane, a sa ciljem da se iznađu zajednički odgovori na krizu sa kojom se suočavamo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Svi </w:t>
      </w:r>
      <w:r w:rsidR="00387B35" w:rsidRPr="00A84443">
        <w:rPr>
          <w:lang w:val="sr-Latn-RS"/>
        </w:rPr>
        <w:t>program</w:t>
      </w:r>
      <w:r w:rsidRPr="00A84443">
        <w:rPr>
          <w:lang w:val="sr-Latn-RS"/>
        </w:rPr>
        <w:t xml:space="preserve">i i aktivnosti </w:t>
      </w:r>
      <w:r w:rsidR="00387B35" w:rsidRPr="00A84443">
        <w:rPr>
          <w:lang w:val="sr-Latn-RS"/>
        </w:rPr>
        <w:t>Organi</w:t>
      </w:r>
      <w:r w:rsidRPr="00A84443">
        <w:rPr>
          <w:lang w:val="sr-Latn-RS"/>
        </w:rPr>
        <w:t>zacije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 xml:space="preserve">uključujući </w:t>
      </w:r>
      <w:r w:rsidR="00387B35" w:rsidRPr="00A84443">
        <w:rPr>
          <w:lang w:val="sr-Latn-RS"/>
        </w:rPr>
        <w:t>– n</w:t>
      </w:r>
      <w:r w:rsidRPr="00A84443">
        <w:rPr>
          <w:lang w:val="sr-Latn-RS"/>
        </w:rPr>
        <w:t>a</w:t>
      </w:r>
      <w:r w:rsidR="00387B35" w:rsidRPr="00A84443">
        <w:rPr>
          <w:lang w:val="sr-Latn-RS"/>
        </w:rPr>
        <w:t xml:space="preserve"> </w:t>
      </w:r>
      <w:r w:rsidRPr="00A84443">
        <w:rPr>
          <w:lang w:val="sr-Latn-RS"/>
        </w:rPr>
        <w:t>zaht</w:t>
      </w:r>
      <w:r w:rsidR="00CE1497">
        <w:rPr>
          <w:lang w:val="sr-Latn-RS"/>
        </w:rPr>
        <w:t>j</w:t>
      </w:r>
      <w:r w:rsidRPr="00A84443">
        <w:rPr>
          <w:lang w:val="sr-Latn-RS"/>
        </w:rPr>
        <w:t>ev</w:t>
      </w:r>
      <w:r w:rsidR="00387B35" w:rsidRPr="00A84443">
        <w:rPr>
          <w:lang w:val="sr-Latn-RS"/>
        </w:rPr>
        <w:t xml:space="preserve"> – program</w:t>
      </w:r>
      <w:r w:rsidRPr="00A84443">
        <w:rPr>
          <w:lang w:val="sr-Latn-RS"/>
        </w:rPr>
        <w:t>e saradnje sa državama članicama i ne-članicama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 xml:space="preserve">biće predmet prilagođavanja sa ciljem da </w:t>
      </w:r>
      <w:r w:rsidR="00CE1497">
        <w:rPr>
          <w:lang w:val="sr-Latn-RS"/>
        </w:rPr>
        <w:t xml:space="preserve">se </w:t>
      </w:r>
      <w:r w:rsidRPr="00A84443">
        <w:rPr>
          <w:lang w:val="sr-Latn-RS"/>
        </w:rPr>
        <w:t>uključe i komponente koje će učiniti da doprinos Organizacije bude u što je moguće većoj m</w:t>
      </w:r>
      <w:r w:rsidR="00CE1497">
        <w:rPr>
          <w:lang w:val="sr-Latn-RS"/>
        </w:rPr>
        <w:t>j</w:t>
      </w:r>
      <w:r w:rsidRPr="00A84443">
        <w:rPr>
          <w:lang w:val="sr-Latn-RS"/>
        </w:rPr>
        <w:t xml:space="preserve">eri </w:t>
      </w:r>
      <w:r w:rsidR="00387B35" w:rsidRPr="00A84443">
        <w:rPr>
          <w:lang w:val="sr-Latn-RS"/>
        </w:rPr>
        <w:t>relevant</w:t>
      </w:r>
      <w:r w:rsidRPr="00A84443">
        <w:rPr>
          <w:lang w:val="sr-Latn-RS"/>
        </w:rPr>
        <w:t>an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blagovremen i konkretan</w:t>
      </w:r>
      <w:r w:rsidR="00387B35" w:rsidRPr="00A84443">
        <w:rPr>
          <w:lang w:val="sr-Latn-RS"/>
        </w:rPr>
        <w:t>.</w:t>
      </w:r>
    </w:p>
    <w:p w14:paraId="1C848D40" w14:textId="5354F339" w:rsidR="009C62BA" w:rsidRDefault="009C62BA" w:rsidP="00314544">
      <w:pPr>
        <w:rPr>
          <w:sz w:val="20"/>
          <w:lang w:val="sr-Latn-RS"/>
        </w:rPr>
      </w:pPr>
    </w:p>
    <w:p w14:paraId="7D03BDE6" w14:textId="13992BD9" w:rsidR="00D5225C" w:rsidRDefault="00D5225C" w:rsidP="00314544">
      <w:pPr>
        <w:rPr>
          <w:sz w:val="20"/>
          <w:lang w:val="sr-Latn-RS"/>
        </w:rPr>
      </w:pPr>
    </w:p>
    <w:p w14:paraId="7633F115" w14:textId="41B496E2" w:rsidR="00D5225C" w:rsidRDefault="00D5225C" w:rsidP="00314544">
      <w:pPr>
        <w:rPr>
          <w:sz w:val="20"/>
          <w:lang w:val="sr-Latn-RS"/>
        </w:rPr>
      </w:pPr>
    </w:p>
    <w:p w14:paraId="480D3770" w14:textId="3E14ADA3" w:rsidR="00D5225C" w:rsidRDefault="00D5225C" w:rsidP="00314544">
      <w:pPr>
        <w:rPr>
          <w:sz w:val="20"/>
          <w:lang w:val="sr-Latn-RS"/>
        </w:rPr>
      </w:pPr>
    </w:p>
    <w:p w14:paraId="3A5619E9" w14:textId="1AEFEF4A" w:rsidR="00D5225C" w:rsidRDefault="00D5225C" w:rsidP="00314544">
      <w:pPr>
        <w:rPr>
          <w:sz w:val="20"/>
          <w:lang w:val="sr-Latn-RS"/>
        </w:rPr>
      </w:pPr>
    </w:p>
    <w:p w14:paraId="01BB98A4" w14:textId="14DB8C3F" w:rsidR="00D5225C" w:rsidRDefault="00D5225C" w:rsidP="00314544">
      <w:pPr>
        <w:rPr>
          <w:sz w:val="20"/>
          <w:lang w:val="sr-Latn-RS"/>
        </w:rPr>
      </w:pPr>
    </w:p>
    <w:p w14:paraId="459FF700" w14:textId="24D388A1" w:rsidR="00D5225C" w:rsidRDefault="00D5225C" w:rsidP="00314544">
      <w:pPr>
        <w:rPr>
          <w:sz w:val="20"/>
          <w:lang w:val="sr-Latn-RS"/>
        </w:rPr>
      </w:pPr>
    </w:p>
    <w:p w14:paraId="622D42DB" w14:textId="7D6AB880" w:rsidR="00D5225C" w:rsidRDefault="00D5225C" w:rsidP="00314544">
      <w:pPr>
        <w:rPr>
          <w:sz w:val="20"/>
          <w:lang w:val="sr-Latn-RS"/>
        </w:rPr>
      </w:pPr>
    </w:p>
    <w:p w14:paraId="02350AC1" w14:textId="47EA3227" w:rsidR="00D5225C" w:rsidRDefault="00D5225C" w:rsidP="00314544">
      <w:pPr>
        <w:rPr>
          <w:sz w:val="20"/>
          <w:lang w:val="sr-Latn-RS"/>
        </w:rPr>
      </w:pPr>
    </w:p>
    <w:p w14:paraId="7E92EA2B" w14:textId="652E68F5" w:rsidR="00D5225C" w:rsidRDefault="00D5225C" w:rsidP="00314544">
      <w:pPr>
        <w:rPr>
          <w:sz w:val="20"/>
          <w:lang w:val="sr-Latn-RS"/>
        </w:rPr>
      </w:pPr>
    </w:p>
    <w:p w14:paraId="407D6A3A" w14:textId="26610A24" w:rsidR="00D5225C" w:rsidRDefault="00D5225C" w:rsidP="00314544">
      <w:pPr>
        <w:rPr>
          <w:sz w:val="20"/>
          <w:lang w:val="sr-Latn-RS"/>
        </w:rPr>
      </w:pPr>
    </w:p>
    <w:p w14:paraId="73CEBD19" w14:textId="5D3966DC" w:rsidR="00D5225C" w:rsidRDefault="00D5225C" w:rsidP="00314544">
      <w:pPr>
        <w:rPr>
          <w:sz w:val="20"/>
          <w:lang w:val="sr-Latn-RS"/>
        </w:rPr>
      </w:pPr>
    </w:p>
    <w:p w14:paraId="7E2BECA5" w14:textId="76227744" w:rsidR="00D5225C" w:rsidRDefault="00D5225C" w:rsidP="00314544">
      <w:pPr>
        <w:rPr>
          <w:sz w:val="20"/>
          <w:lang w:val="sr-Latn-RS"/>
        </w:rPr>
      </w:pPr>
    </w:p>
    <w:p w14:paraId="23465953" w14:textId="5CDD9519" w:rsidR="00D5225C" w:rsidRDefault="00D5225C" w:rsidP="00314544">
      <w:pPr>
        <w:rPr>
          <w:sz w:val="20"/>
          <w:lang w:val="sr-Latn-RS"/>
        </w:rPr>
      </w:pPr>
    </w:p>
    <w:p w14:paraId="3BADD904" w14:textId="176B4EBD" w:rsidR="00D5225C" w:rsidRDefault="00D5225C" w:rsidP="00314544">
      <w:pPr>
        <w:rPr>
          <w:sz w:val="20"/>
          <w:lang w:val="sr-Latn-RS"/>
        </w:rPr>
      </w:pPr>
    </w:p>
    <w:p w14:paraId="0AB86BCD" w14:textId="600C415B" w:rsidR="00D5225C" w:rsidRDefault="00D5225C" w:rsidP="00314544">
      <w:pPr>
        <w:rPr>
          <w:sz w:val="20"/>
          <w:lang w:val="sr-Latn-RS"/>
        </w:rPr>
      </w:pPr>
    </w:p>
    <w:p w14:paraId="55197064" w14:textId="4BF994DA" w:rsidR="00D5225C" w:rsidRDefault="00D5225C" w:rsidP="00314544">
      <w:pPr>
        <w:rPr>
          <w:sz w:val="20"/>
          <w:lang w:val="sr-Latn-RS"/>
        </w:rPr>
      </w:pPr>
    </w:p>
    <w:p w14:paraId="40D057F2" w14:textId="13CAB635" w:rsidR="00D5225C" w:rsidRDefault="00D5225C" w:rsidP="00314544">
      <w:pPr>
        <w:rPr>
          <w:sz w:val="20"/>
          <w:lang w:val="sr-Latn-RS"/>
        </w:rPr>
      </w:pPr>
    </w:p>
    <w:p w14:paraId="62BCDA2E" w14:textId="020B0921" w:rsidR="00D5225C" w:rsidRDefault="00D5225C" w:rsidP="00314544">
      <w:pPr>
        <w:rPr>
          <w:sz w:val="20"/>
          <w:lang w:val="sr-Latn-RS"/>
        </w:rPr>
      </w:pPr>
    </w:p>
    <w:p w14:paraId="7C69F879" w14:textId="086E30B9" w:rsidR="00D5225C" w:rsidRDefault="00D5225C" w:rsidP="00314544">
      <w:pPr>
        <w:rPr>
          <w:sz w:val="20"/>
          <w:lang w:val="sr-Latn-RS"/>
        </w:rPr>
      </w:pPr>
    </w:p>
    <w:p w14:paraId="064FEFDE" w14:textId="43B1D624" w:rsidR="00D5225C" w:rsidRDefault="00D5225C" w:rsidP="00314544">
      <w:pPr>
        <w:rPr>
          <w:sz w:val="20"/>
          <w:lang w:val="sr-Latn-RS"/>
        </w:rPr>
      </w:pPr>
    </w:p>
    <w:p w14:paraId="1870E94A" w14:textId="3EB276ED" w:rsidR="00D5225C" w:rsidRDefault="00D5225C" w:rsidP="00314544">
      <w:pPr>
        <w:rPr>
          <w:sz w:val="20"/>
          <w:lang w:val="sr-Latn-RS"/>
        </w:rPr>
      </w:pPr>
    </w:p>
    <w:p w14:paraId="5F894108" w14:textId="2F90AF11" w:rsidR="00D5225C" w:rsidRDefault="00D5225C" w:rsidP="00314544">
      <w:pPr>
        <w:rPr>
          <w:sz w:val="20"/>
          <w:lang w:val="sr-Latn-RS"/>
        </w:rPr>
      </w:pPr>
    </w:p>
    <w:p w14:paraId="5C98ECE0" w14:textId="71C43513" w:rsidR="00D5225C" w:rsidRDefault="00D5225C" w:rsidP="00314544">
      <w:pPr>
        <w:rPr>
          <w:sz w:val="20"/>
          <w:lang w:val="sr-Latn-RS"/>
        </w:rPr>
      </w:pPr>
    </w:p>
    <w:p w14:paraId="0F3502BB" w14:textId="7FB677E7" w:rsidR="00D5225C" w:rsidRDefault="00D5225C" w:rsidP="00314544">
      <w:pPr>
        <w:rPr>
          <w:sz w:val="20"/>
          <w:lang w:val="sr-Latn-RS"/>
        </w:rPr>
      </w:pPr>
    </w:p>
    <w:p w14:paraId="4F7E1938" w14:textId="14303580" w:rsidR="00D5225C" w:rsidRDefault="00D5225C" w:rsidP="00314544">
      <w:pPr>
        <w:rPr>
          <w:sz w:val="20"/>
          <w:lang w:val="sr-Latn-RS"/>
        </w:rPr>
      </w:pPr>
    </w:p>
    <w:p w14:paraId="18811EEF" w14:textId="2C8C697A" w:rsidR="003109A1" w:rsidRDefault="003109A1" w:rsidP="00314544">
      <w:pPr>
        <w:rPr>
          <w:sz w:val="20"/>
          <w:lang w:val="sr-Latn-RS"/>
        </w:rPr>
      </w:pPr>
    </w:p>
    <w:p w14:paraId="21B73F12" w14:textId="0DFB4F89" w:rsidR="003109A1" w:rsidRDefault="003109A1" w:rsidP="00314544">
      <w:pPr>
        <w:rPr>
          <w:sz w:val="20"/>
          <w:lang w:val="sr-Latn-RS"/>
        </w:rPr>
      </w:pPr>
    </w:p>
    <w:p w14:paraId="7D2704DF" w14:textId="77777777" w:rsidR="003109A1" w:rsidRDefault="003109A1" w:rsidP="00314544">
      <w:pPr>
        <w:rPr>
          <w:sz w:val="20"/>
          <w:lang w:val="sr-Latn-RS"/>
        </w:rPr>
      </w:pPr>
    </w:p>
    <w:p w14:paraId="41A14D51" w14:textId="641FF3DD" w:rsidR="00D5225C" w:rsidRDefault="00D5225C" w:rsidP="00314544">
      <w:pPr>
        <w:rPr>
          <w:sz w:val="20"/>
          <w:lang w:val="sr-Latn-RS"/>
        </w:rPr>
      </w:pPr>
    </w:p>
    <w:p w14:paraId="7C6464AA" w14:textId="003807DA" w:rsidR="00D5225C" w:rsidRDefault="004F1312" w:rsidP="00314544">
      <w:pPr>
        <w:rPr>
          <w:sz w:val="20"/>
          <w:lang w:val="sr-Latn-RS"/>
        </w:rPr>
      </w:pPr>
      <w:r w:rsidRPr="00D639E1">
        <w:rPr>
          <w:noProof/>
          <w:lang w:val="bs-Latn-BA" w:eastAsia="bs-Latn-BA" w:bidi="ar-SA"/>
        </w:rPr>
        <w:drawing>
          <wp:anchor distT="0" distB="0" distL="114300" distR="114300" simplePos="0" relativeHeight="251662336" behindDoc="0" locked="0" layoutInCell="1" allowOverlap="1" wp14:anchorId="36C2CA8C" wp14:editId="523E5771">
            <wp:simplePos x="0" y="0"/>
            <wp:positionH relativeFrom="margin">
              <wp:posOffset>-635</wp:posOffset>
            </wp:positionH>
            <wp:positionV relativeFrom="paragraph">
              <wp:posOffset>248920</wp:posOffset>
            </wp:positionV>
            <wp:extent cx="2599055" cy="9886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222D6" w14:textId="7DCEC3BC" w:rsidR="00D5225C" w:rsidRDefault="00D5225C" w:rsidP="00314544">
      <w:pPr>
        <w:rPr>
          <w:sz w:val="20"/>
          <w:lang w:val="sr-Latn-RS"/>
        </w:rPr>
      </w:pPr>
    </w:p>
    <w:p w14:paraId="064417F3" w14:textId="6FAB0013" w:rsidR="00D5225C" w:rsidRPr="00403D92" w:rsidRDefault="00D5225C" w:rsidP="00D5225C">
      <w:pPr>
        <w:jc w:val="both"/>
        <w:rPr>
          <w:i/>
          <w:iCs/>
          <w:sz w:val="18"/>
          <w:szCs w:val="18"/>
          <w:lang w:val="sr-Latn-RS"/>
        </w:rPr>
      </w:pPr>
    </w:p>
    <w:p w14:paraId="0E923B0C" w14:textId="3C7B6327" w:rsidR="00D5225C" w:rsidRPr="00121937" w:rsidRDefault="00D7100E" w:rsidP="00121937">
      <w:pPr>
        <w:jc w:val="center"/>
        <w:rPr>
          <w:i/>
          <w:iCs/>
          <w:sz w:val="20"/>
          <w:lang w:val="sr-Latn-RS"/>
        </w:rPr>
      </w:pPr>
      <w:r w:rsidRPr="00D7100E">
        <w:rPr>
          <w:i/>
          <w:iCs/>
          <w:sz w:val="20"/>
          <w:lang w:val="sr-Latn-RS"/>
        </w:rPr>
        <w:t xml:space="preserve">Prevod ovog dokumenta je pripremljen uz pomoć sredstava zajedničkog programa Evropske unije i </w:t>
      </w:r>
      <w:r w:rsidR="00121937">
        <w:rPr>
          <w:i/>
          <w:iCs/>
          <w:sz w:val="20"/>
          <w:lang w:val="sr-Latn-RS"/>
        </w:rPr>
        <w:t>Vijeća</w:t>
      </w:r>
      <w:r w:rsidRPr="00D7100E">
        <w:rPr>
          <w:i/>
          <w:iCs/>
          <w:sz w:val="20"/>
          <w:lang w:val="sr-Latn-RS"/>
        </w:rPr>
        <w:t xml:space="preserve"> Evrope. Stavovi i mišljenja izraženi u njemu ni na koji način ne izražavaju zvanične stavove Evropske unije.</w:t>
      </w:r>
    </w:p>
    <w:sectPr w:rsidR="00D5225C" w:rsidRPr="00121937" w:rsidSect="002A7B18">
      <w:headerReference w:type="even" r:id="rId17"/>
      <w:headerReference w:type="default" r:id="rId18"/>
      <w:pgSz w:w="11910" w:h="16840"/>
      <w:pgMar w:top="1440" w:right="1440" w:bottom="1440" w:left="144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80C" w14:textId="77777777" w:rsidR="000C5CFE" w:rsidRDefault="000C5CFE">
      <w:r>
        <w:separator/>
      </w:r>
    </w:p>
  </w:endnote>
  <w:endnote w:type="continuationSeparator" w:id="0">
    <w:p w14:paraId="626FD533" w14:textId="77777777" w:rsidR="000C5CFE" w:rsidRDefault="000C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3EC2" w14:textId="77777777" w:rsidR="000C5CFE" w:rsidRDefault="000C5CFE">
      <w:r>
        <w:separator/>
      </w:r>
    </w:p>
  </w:footnote>
  <w:footnote w:type="continuationSeparator" w:id="0">
    <w:p w14:paraId="10F49810" w14:textId="77777777" w:rsidR="000C5CFE" w:rsidRDefault="000C5CFE">
      <w:r>
        <w:continuationSeparator/>
      </w:r>
    </w:p>
  </w:footnote>
  <w:footnote w:id="1">
    <w:p w14:paraId="11C910EF" w14:textId="12D4B69F" w:rsidR="00BC17AD" w:rsidRPr="00FE1DD8" w:rsidRDefault="00BC17AD" w:rsidP="00FE1DD8">
      <w:pPr>
        <w:spacing w:before="71" w:line="186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A84443">
        <w:rPr>
          <w:position w:val="6"/>
          <w:sz w:val="10"/>
          <w:lang w:val="sr-Latn-RS"/>
        </w:rPr>
        <w:t xml:space="preserve"> </w:t>
      </w:r>
      <w:r w:rsidRPr="00A84443">
        <w:rPr>
          <w:sz w:val="16"/>
          <w:lang w:val="sr-Latn-RS"/>
        </w:rPr>
        <w:t xml:space="preserve">Odgovor </w:t>
      </w:r>
      <w:r>
        <w:rPr>
          <w:sz w:val="16"/>
          <w:lang w:val="sr-Latn-RS"/>
        </w:rPr>
        <w:t xml:space="preserve">Komiteta </w:t>
      </w:r>
      <w:r w:rsidR="000B0B98">
        <w:rPr>
          <w:sz w:val="16"/>
          <w:lang w:val="sr-Latn-RS"/>
        </w:rPr>
        <w:t>m</w:t>
      </w:r>
      <w:r>
        <w:rPr>
          <w:sz w:val="16"/>
          <w:lang w:val="sr-Latn-RS"/>
        </w:rPr>
        <w:t>inistara</w:t>
      </w:r>
      <w:r w:rsidRPr="00A84443">
        <w:rPr>
          <w:sz w:val="16"/>
          <w:lang w:val="sr-Latn-RS"/>
        </w:rPr>
        <w:t xml:space="preserve"> na Preporuku P</w:t>
      </w:r>
      <w:r w:rsidR="00FE1DD8">
        <w:rPr>
          <w:sz w:val="16"/>
          <w:lang w:val="sr-Latn-RS"/>
        </w:rPr>
        <w:t xml:space="preserve">arlamentarne Skupštine </w:t>
      </w:r>
      <w:r w:rsidR="00406110">
        <w:rPr>
          <w:sz w:val="16"/>
          <w:lang w:val="sr-Latn-RS"/>
        </w:rPr>
        <w:t>Vijeća</w:t>
      </w:r>
      <w:r w:rsidR="00FE1DD8">
        <w:rPr>
          <w:sz w:val="16"/>
          <w:lang w:val="sr-Latn-RS"/>
        </w:rPr>
        <w:t xml:space="preserve"> Evrope</w:t>
      </w:r>
      <w:r w:rsidR="00EC5997">
        <w:rPr>
          <w:sz w:val="16"/>
          <w:lang w:val="sr-Latn-RS"/>
        </w:rPr>
        <w:t xml:space="preserve"> (PS</w:t>
      </w:r>
      <w:r w:rsidR="00406110">
        <w:rPr>
          <w:sz w:val="16"/>
          <w:lang w:val="sr-Latn-RS"/>
        </w:rPr>
        <w:t>V</w:t>
      </w:r>
      <w:r w:rsidR="00EC5997">
        <w:rPr>
          <w:sz w:val="16"/>
          <w:lang w:val="sr-Latn-RS"/>
        </w:rPr>
        <w:t>E)</w:t>
      </w:r>
      <w:r w:rsidRPr="00A84443">
        <w:rPr>
          <w:sz w:val="16"/>
          <w:lang w:val="sr-Latn-RS"/>
        </w:rPr>
        <w:t xml:space="preserve"> 2125 (2018).</w:t>
      </w:r>
    </w:p>
  </w:footnote>
  <w:footnote w:id="2">
    <w:p w14:paraId="699B58B8" w14:textId="1273A997" w:rsidR="00FE1DD8" w:rsidRPr="00FE1DD8" w:rsidRDefault="00FE1DD8" w:rsidP="00FE1DD8">
      <w:pPr>
        <w:spacing w:line="184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A84443">
        <w:rPr>
          <w:position w:val="6"/>
          <w:sz w:val="10"/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406110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r w:rsidR="00760CFB">
        <w:rPr>
          <w:sz w:val="16"/>
          <w:lang w:val="sr-Latn-RS"/>
        </w:rPr>
        <w:t>Vodi</w:t>
      </w:r>
      <w:r w:rsidR="00406110">
        <w:rPr>
          <w:sz w:val="16"/>
          <w:lang w:val="sr-Latn-RS"/>
        </w:rPr>
        <w:t>ć</w:t>
      </w:r>
      <w:r w:rsidRPr="00A84443">
        <w:rPr>
          <w:sz w:val="16"/>
          <w:lang w:val="sr-Latn-RS"/>
        </w:rPr>
        <w:t xml:space="preserve"> </w:t>
      </w:r>
      <w:r w:rsidR="00760CFB">
        <w:rPr>
          <w:sz w:val="16"/>
          <w:lang w:val="sr-Latn-RS"/>
        </w:rPr>
        <w:t xml:space="preserve">za </w:t>
      </w:r>
      <w:r w:rsidRPr="00A84443">
        <w:rPr>
          <w:sz w:val="16"/>
          <w:lang w:val="sr-Latn-RS"/>
        </w:rPr>
        <w:t>Član</w:t>
      </w:r>
      <w:r w:rsidR="00406110">
        <w:rPr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15 Konvencije (31. decembar 2019) koj</w:t>
      </w:r>
      <w:r w:rsidR="00406110">
        <w:rPr>
          <w:sz w:val="16"/>
          <w:lang w:val="sr-Latn-RS"/>
        </w:rPr>
        <w:t>i</w:t>
      </w:r>
      <w:r w:rsidRPr="00A84443">
        <w:rPr>
          <w:sz w:val="16"/>
          <w:lang w:val="sr-Latn-RS"/>
        </w:rPr>
        <w:t xml:space="preserve"> je ob</w:t>
      </w:r>
      <w:r>
        <w:rPr>
          <w:sz w:val="16"/>
          <w:lang w:val="sr-Latn-RS"/>
        </w:rPr>
        <w:t>javio Sekretarijat</w:t>
      </w:r>
      <w:r w:rsidRPr="00A84443">
        <w:rPr>
          <w:sz w:val="16"/>
          <w:lang w:val="sr-Latn-RS"/>
        </w:rPr>
        <w:t xml:space="preserve"> Suda.</w:t>
      </w:r>
    </w:p>
  </w:footnote>
  <w:footnote w:id="3">
    <w:p w14:paraId="07A77805" w14:textId="77777777" w:rsidR="00FE1DD8" w:rsidRPr="00FE1DD8" w:rsidRDefault="00FE1DD8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sz w:val="16"/>
          <w:lang w:val="sr-Latn-RS"/>
        </w:rPr>
        <w:t xml:space="preserve">Presuda u predmetu </w:t>
      </w:r>
      <w:r w:rsidRPr="00FE1DD8">
        <w:rPr>
          <w:i/>
          <w:iCs/>
          <w:sz w:val="16"/>
          <w:lang w:val="sr-Latn-RS"/>
        </w:rPr>
        <w:t>Irska protiv U</w:t>
      </w:r>
      <w:r w:rsidR="00760CFB">
        <w:rPr>
          <w:i/>
          <w:iCs/>
          <w:sz w:val="16"/>
          <w:lang w:val="sr-Latn-RS"/>
        </w:rPr>
        <w:t xml:space="preserve">jedinjenog Kraljevstva </w:t>
      </w:r>
      <w:r w:rsidRPr="00A84443">
        <w:rPr>
          <w:sz w:val="16"/>
          <w:lang w:val="sr-Latn-RS"/>
        </w:rPr>
        <w:t>od 18.01.1078, Serija A 25, stav 207</w:t>
      </w:r>
    </w:p>
  </w:footnote>
  <w:footnote w:id="4">
    <w:p w14:paraId="3EB3FDE1" w14:textId="77777777" w:rsidR="00B504D8" w:rsidRPr="00B504D8" w:rsidRDefault="00B504D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1B1751">
        <w:t xml:space="preserve"> </w:t>
      </w:r>
      <w:r w:rsidRPr="00A84443">
        <w:rPr>
          <w:i/>
          <w:sz w:val="16"/>
          <w:lang w:val="sr-Latn-RS"/>
        </w:rPr>
        <w:t>Mehmet Hasan Altan protiv Turske</w:t>
      </w:r>
      <w:r w:rsidRPr="00A84443">
        <w:rPr>
          <w:sz w:val="16"/>
          <w:lang w:val="sr-Latn-RS"/>
        </w:rPr>
        <w:t xml:space="preserve">, §§ 94 i 210; i </w:t>
      </w:r>
      <w:r w:rsidRPr="00A84443">
        <w:rPr>
          <w:i/>
          <w:sz w:val="16"/>
          <w:lang w:val="sr-Latn-RS"/>
        </w:rPr>
        <w:t>Şahin Alpay protiv Turske</w:t>
      </w:r>
      <w:r w:rsidRPr="00A84443">
        <w:rPr>
          <w:sz w:val="16"/>
          <w:lang w:val="sr-Latn-RS"/>
        </w:rPr>
        <w:t>, §§ 78 i 180</w:t>
      </w:r>
      <w:r w:rsidR="001B1751">
        <w:rPr>
          <w:sz w:val="16"/>
          <w:lang w:val="sr-Latn-RS"/>
        </w:rPr>
        <w:t>.</w:t>
      </w:r>
    </w:p>
  </w:footnote>
  <w:footnote w:id="5">
    <w:p w14:paraId="1A1F8512" w14:textId="53802C63" w:rsidR="00B504D8" w:rsidRPr="00B504D8" w:rsidRDefault="00B504D8" w:rsidP="00B504D8">
      <w:pPr>
        <w:spacing w:line="184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sz w:val="16"/>
          <w:lang w:val="sr-Latn-RS"/>
        </w:rPr>
        <w:t>Vid</w:t>
      </w:r>
      <w:r w:rsidR="001E63D7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eti: Mišljenje Venecijanske komisije o zaštiti ljudskih prava u vandrednim situacijama CDL-AD(2006)015), stav 13.</w:t>
      </w:r>
    </w:p>
  </w:footnote>
  <w:footnote w:id="6">
    <w:p w14:paraId="4640BF55" w14:textId="68E03E4F" w:rsidR="00B504D8" w:rsidRPr="001B1751" w:rsidRDefault="00B504D8" w:rsidP="001B1751">
      <w:pPr>
        <w:spacing w:line="184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sz w:val="16"/>
          <w:lang w:val="sr-Latn-RS"/>
        </w:rPr>
        <w:t>Vid</w:t>
      </w:r>
      <w:r w:rsidR="001E63D7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r w:rsidR="003347F1">
        <w:rPr>
          <w:sz w:val="16"/>
          <w:lang w:val="sr-Latn-RS"/>
        </w:rPr>
        <w:t>Venecijanska komisija k</w:t>
      </w:r>
      <w:r w:rsidRPr="00A84443">
        <w:rPr>
          <w:sz w:val="16"/>
          <w:lang w:val="sr-Latn-RS"/>
        </w:rPr>
        <w:t>ontroln</w:t>
      </w:r>
      <w:r w:rsidR="001E63D7"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 xml:space="preserve"> list</w:t>
      </w:r>
      <w:r w:rsidR="003347F1"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 xml:space="preserve"> </w:t>
      </w:r>
      <w:r w:rsidR="0010396D">
        <w:rPr>
          <w:sz w:val="16"/>
          <w:lang w:val="sr-Latn-RS"/>
        </w:rPr>
        <w:t xml:space="preserve">vladavine </w:t>
      </w:r>
      <w:r w:rsidRPr="00A84443">
        <w:rPr>
          <w:sz w:val="16"/>
          <w:lang w:val="sr-Latn-RS"/>
        </w:rPr>
        <w:t xml:space="preserve">(CDL-AD(2016)007), </w:t>
      </w:r>
      <w:r>
        <w:rPr>
          <w:sz w:val="16"/>
          <w:lang w:val="sr-Latn-RS"/>
        </w:rPr>
        <w:t xml:space="preserve">stav </w:t>
      </w:r>
      <w:r w:rsidRPr="00A84443">
        <w:rPr>
          <w:sz w:val="16"/>
          <w:lang w:val="sr-Latn-RS"/>
        </w:rPr>
        <w:t xml:space="preserve">44 </w:t>
      </w:r>
      <w:r>
        <w:rPr>
          <w:sz w:val="16"/>
          <w:lang w:val="sr-Latn-RS"/>
        </w:rPr>
        <w:t>i</w:t>
      </w:r>
      <w:r w:rsidRPr="00A84443">
        <w:rPr>
          <w:sz w:val="16"/>
          <w:lang w:val="sr-Latn-RS"/>
        </w:rPr>
        <w:t xml:space="preserve"> 45.</w:t>
      </w:r>
    </w:p>
  </w:footnote>
  <w:footnote w:id="7">
    <w:p w14:paraId="3CF8F7C5" w14:textId="77777777" w:rsidR="001B1751" w:rsidRPr="001E4DA7" w:rsidRDefault="001B175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>
        <w:rPr>
          <w:sz w:val="16"/>
          <w:lang w:val="sr-Latn-RS"/>
        </w:rPr>
        <w:t>Do</w:t>
      </w:r>
      <w:r w:rsidRPr="00A84443">
        <w:rPr>
          <w:sz w:val="16"/>
          <w:lang w:val="sr-Latn-RS"/>
        </w:rPr>
        <w:t xml:space="preserve"> 29. marta 2020, 22 naše države članice su proglasile vanredn</w:t>
      </w:r>
      <w:r w:rsidR="0010396D"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 xml:space="preserve"> stanj</w:t>
      </w:r>
      <w:r w:rsidR="0010396D"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>.</w:t>
      </w:r>
    </w:p>
  </w:footnote>
  <w:footnote w:id="8">
    <w:p w14:paraId="36461CE1" w14:textId="1C8784DF" w:rsidR="001B1751" w:rsidRPr="001B1751" w:rsidRDefault="001B1751" w:rsidP="00017C59">
      <w:pPr>
        <w:tabs>
          <w:tab w:val="left" w:pos="8647"/>
          <w:tab w:val="left" w:pos="8789"/>
        </w:tabs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="000309E6">
        <w:rPr>
          <w:sz w:val="16"/>
          <w:lang w:val="sr-Latn-RS"/>
        </w:rPr>
        <w:t xml:space="preserve"> </w:t>
      </w:r>
      <w:r w:rsidR="000309E6" w:rsidRPr="00A84443">
        <w:rPr>
          <w:sz w:val="16"/>
          <w:lang w:val="sr-Latn-RS"/>
        </w:rPr>
        <w:t xml:space="preserve">Iskustvo pokazuje da </w:t>
      </w:r>
      <w:r w:rsidR="000309E6" w:rsidRPr="00A84443">
        <w:rPr>
          <w:i/>
          <w:sz w:val="16"/>
          <w:lang w:val="sr-Latn-RS"/>
        </w:rPr>
        <w:t>„što duže traje vanredni režim, to je v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 xml:space="preserve">erovatnije da </w:t>
      </w:r>
      <w:r w:rsidR="000309E6">
        <w:rPr>
          <w:i/>
          <w:sz w:val="16"/>
          <w:lang w:val="sr-Latn-RS"/>
        </w:rPr>
        <w:t>će se država</w:t>
      </w:r>
      <w:r w:rsidR="000309E6" w:rsidRPr="00A84443">
        <w:rPr>
          <w:i/>
          <w:sz w:val="16"/>
          <w:lang w:val="sr-Latn-RS"/>
        </w:rPr>
        <w:t xml:space="preserve"> </w:t>
      </w:r>
      <w:r w:rsidR="000309E6">
        <w:rPr>
          <w:i/>
          <w:sz w:val="16"/>
          <w:lang w:val="sr-Latn-RS"/>
        </w:rPr>
        <w:t xml:space="preserve">odmaći </w:t>
      </w:r>
      <w:r w:rsidR="000309E6" w:rsidRPr="00A84443">
        <w:rPr>
          <w:i/>
          <w:sz w:val="16"/>
          <w:lang w:val="sr-Latn-RS"/>
        </w:rPr>
        <w:t>od objektivnih kriterijuma koji su možda u početku opravdavali prim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>enu vanrednih ovlaš</w:t>
      </w:r>
      <w:r w:rsidR="00017C59">
        <w:rPr>
          <w:i/>
          <w:sz w:val="16"/>
          <w:lang w:val="sr-Latn-RS"/>
        </w:rPr>
        <w:t>t</w:t>
      </w:r>
      <w:r w:rsidR="000309E6" w:rsidRPr="00A84443">
        <w:rPr>
          <w:i/>
          <w:sz w:val="16"/>
          <w:lang w:val="sr-Latn-RS"/>
        </w:rPr>
        <w:t>enja. Što ta situacija duže traje, to ima manje opravdanja da se situacija tretira kao vanredna po svojoj prirodi sa posl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>edicama koje se ne mogu r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>ešavati prim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>enom normalnih pravnih sredstava.“</w:t>
      </w:r>
      <w:r w:rsidR="000309E6" w:rsidRPr="00A84443">
        <w:rPr>
          <w:sz w:val="16"/>
          <w:lang w:val="sr-Latn-RS"/>
        </w:rPr>
        <w:t xml:space="preserve"> (Venecijanska komisije, Turska – Mišljenje o vanrednim zakonima br. 667-676 usvojenim nakon neusp</w:t>
      </w:r>
      <w:r w:rsidR="00017C59">
        <w:rPr>
          <w:sz w:val="16"/>
          <w:lang w:val="sr-Latn-RS"/>
        </w:rPr>
        <w:t>j</w:t>
      </w:r>
      <w:r w:rsidR="000309E6" w:rsidRPr="00A84443">
        <w:rPr>
          <w:sz w:val="16"/>
          <w:lang w:val="sr-Latn-RS"/>
        </w:rPr>
        <w:t xml:space="preserve">elog </w:t>
      </w:r>
      <w:r w:rsidR="005C3AE4">
        <w:rPr>
          <w:sz w:val="16"/>
          <w:lang w:val="sr-Latn-RS"/>
        </w:rPr>
        <w:t>vojnog udara</w:t>
      </w:r>
      <w:r w:rsidR="000309E6" w:rsidRPr="00A84443">
        <w:rPr>
          <w:sz w:val="16"/>
          <w:lang w:val="sr-Latn-RS"/>
        </w:rPr>
        <w:t xml:space="preserve"> 15. jula 2016., CDL- AD(2016)037, stav.</w:t>
      </w:r>
      <w:r w:rsidR="000309E6" w:rsidRPr="00A84443">
        <w:rPr>
          <w:spacing w:val="1"/>
          <w:sz w:val="16"/>
          <w:lang w:val="sr-Latn-RS"/>
        </w:rPr>
        <w:t xml:space="preserve"> </w:t>
      </w:r>
      <w:r w:rsidR="000309E6" w:rsidRPr="00A84443">
        <w:rPr>
          <w:sz w:val="16"/>
          <w:lang w:val="sr-Latn-RS"/>
        </w:rPr>
        <w:t>41)</w:t>
      </w:r>
    </w:p>
  </w:footnote>
  <w:footnote w:id="9">
    <w:p w14:paraId="3ACEB530" w14:textId="3C24882C" w:rsidR="001B1751" w:rsidRPr="00680F7B" w:rsidRDefault="001B1751" w:rsidP="00017C59">
      <w:pPr>
        <w:tabs>
          <w:tab w:val="left" w:pos="8647"/>
          <w:tab w:val="left" w:pos="8789"/>
        </w:tabs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Pr="005E2C6D">
        <w:rPr>
          <w:lang w:val="sr-Latn-RS"/>
        </w:rPr>
        <w:t xml:space="preserve"> </w:t>
      </w:r>
      <w:hyperlink r:id="rId1" w:history="1">
        <w:r w:rsidR="004F4013" w:rsidRPr="005D7D4E">
          <w:rPr>
            <w:rStyle w:val="Hyperlink"/>
            <w:sz w:val="16"/>
            <w:lang w:val="sr-Latn-RS"/>
          </w:rPr>
          <w:t xml:space="preserve">Mišljenje </w:t>
        </w:r>
        <w:r w:rsidR="005D7D4E" w:rsidRPr="005D7D4E">
          <w:rPr>
            <w:rStyle w:val="Hyperlink"/>
            <w:sz w:val="16"/>
            <w:lang w:val="sr-Latn-RS"/>
          </w:rPr>
          <w:t xml:space="preserve">Komesara za ljudska prava </w:t>
        </w:r>
        <w:r w:rsidR="004F4013" w:rsidRPr="005D7D4E">
          <w:rPr>
            <w:rStyle w:val="Hyperlink"/>
            <w:sz w:val="16"/>
            <w:lang w:val="sr-Latn-RS"/>
          </w:rPr>
          <w:t>1/2002 o određenim aspektima odstupanja Ujedinjenog Kraljevstva od Člana 5, stava 1, Evropske konvencije o ljudskim pravima, str. 25</w:t>
        </w:r>
      </w:hyperlink>
      <w:r w:rsidR="004F4013" w:rsidRPr="00A84443">
        <w:rPr>
          <w:sz w:val="16"/>
          <w:lang w:val="sr-Latn-RS"/>
        </w:rPr>
        <w:t>; vid</w:t>
      </w:r>
      <w:r w:rsidR="00017C59">
        <w:rPr>
          <w:sz w:val="16"/>
          <w:lang w:val="sr-Latn-RS"/>
        </w:rPr>
        <w:t>j</w:t>
      </w:r>
      <w:r w:rsidR="004F4013" w:rsidRPr="00A84443">
        <w:rPr>
          <w:sz w:val="16"/>
          <w:lang w:val="sr-Latn-RS"/>
        </w:rPr>
        <w:t xml:space="preserve">eti takođe </w:t>
      </w:r>
      <w:r w:rsidR="005E2C6D">
        <w:rPr>
          <w:sz w:val="16"/>
          <w:lang w:val="sr-Latn-RS"/>
        </w:rPr>
        <w:t>Venacijanska komisij</w:t>
      </w:r>
      <w:r w:rsidR="00017C59">
        <w:rPr>
          <w:sz w:val="16"/>
          <w:lang w:val="sr-Latn-RS"/>
        </w:rPr>
        <w:t>a</w:t>
      </w:r>
      <w:r w:rsidR="005E2C6D">
        <w:rPr>
          <w:sz w:val="16"/>
          <w:lang w:val="sr-Latn-RS"/>
        </w:rPr>
        <w:t xml:space="preserve"> </w:t>
      </w:r>
      <w:hyperlink r:id="rId2" w:history="1">
        <w:r w:rsidR="005E2C6D">
          <w:rPr>
            <w:rStyle w:val="Hyperlink"/>
            <w:sz w:val="16"/>
            <w:lang w:val="sr-Latn-RS"/>
          </w:rPr>
          <w:t>Parametri o odnosima između parlamentarne većine i opozicije u demokratiji: Kontrolna lista (CDL-AD(2019)019), stav 119).</w:t>
        </w:r>
      </w:hyperlink>
    </w:p>
  </w:footnote>
  <w:footnote w:id="10">
    <w:p w14:paraId="2709B6EC" w14:textId="48B83B57" w:rsidR="001B1751" w:rsidRPr="00680F7B" w:rsidRDefault="001B1751" w:rsidP="00017C59">
      <w:pPr>
        <w:pStyle w:val="FootnoteText"/>
        <w:tabs>
          <w:tab w:val="left" w:pos="8647"/>
          <w:tab w:val="left" w:pos="8789"/>
        </w:tabs>
        <w:rPr>
          <w:lang w:val="sr-Latn-RS"/>
        </w:rPr>
      </w:pPr>
      <w:r>
        <w:rPr>
          <w:rStyle w:val="FootnoteReference"/>
        </w:rPr>
        <w:footnoteRef/>
      </w:r>
      <w:r w:rsidRPr="00680F7B">
        <w:rPr>
          <w:lang w:val="sr-Latn-RS"/>
        </w:rPr>
        <w:t xml:space="preserve"> </w:t>
      </w:r>
      <w:r w:rsidR="00680F7B" w:rsidRPr="00A84443">
        <w:rPr>
          <w:sz w:val="16"/>
          <w:lang w:val="sr-Latn-RS"/>
        </w:rPr>
        <w:t>Rezolucija PS</w:t>
      </w:r>
      <w:r w:rsidR="00017C59">
        <w:rPr>
          <w:sz w:val="16"/>
          <w:lang w:val="sr-Latn-RS"/>
        </w:rPr>
        <w:t>VE</w:t>
      </w:r>
      <w:r w:rsidR="00680F7B" w:rsidRPr="00A84443">
        <w:rPr>
          <w:sz w:val="16"/>
          <w:lang w:val="sr-Latn-RS"/>
        </w:rPr>
        <w:t xml:space="preserve"> 1659 (2009), Zaštita ljudskih prava u vanrednim situacijama;</w:t>
      </w:r>
      <w:r w:rsidR="00680F7B" w:rsidRPr="00A84443">
        <w:rPr>
          <w:spacing w:val="-7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>takođe vid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eti Kontrolnu listu</w:t>
      </w:r>
      <w:r w:rsidR="00680F7B" w:rsidRPr="00A84443">
        <w:rPr>
          <w:spacing w:val="-7"/>
          <w:sz w:val="16"/>
          <w:lang w:val="sr-Latn-RS"/>
        </w:rPr>
        <w:t xml:space="preserve"> za vladavinu prava koja je gore citirana, i Član </w:t>
      </w:r>
      <w:r w:rsidR="00680F7B" w:rsidRPr="00A84443">
        <w:rPr>
          <w:sz w:val="16"/>
          <w:lang w:val="sr-Latn-RS"/>
        </w:rPr>
        <w:t>15</w:t>
      </w:r>
      <w:r w:rsidR="00680F7B" w:rsidRPr="00A84443">
        <w:rPr>
          <w:spacing w:val="-11"/>
          <w:sz w:val="16"/>
          <w:lang w:val="sr-Latn-RS"/>
        </w:rPr>
        <w:t xml:space="preserve"> K</w:t>
      </w:r>
      <w:r w:rsidR="00680F7B" w:rsidRPr="00A84443">
        <w:rPr>
          <w:sz w:val="16"/>
          <w:lang w:val="sr-Latn-RS"/>
        </w:rPr>
        <w:t>onvencije</w:t>
      </w:r>
      <w:r w:rsidR="00680F7B" w:rsidRPr="00A84443">
        <w:rPr>
          <w:spacing w:val="-10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 xml:space="preserve">(“Odstupanja u vanrednim </w:t>
      </w:r>
      <w:r w:rsidR="005E2C6D">
        <w:rPr>
          <w:sz w:val="16"/>
          <w:lang w:val="sr-Latn-RS"/>
        </w:rPr>
        <w:t>okolnostima</w:t>
      </w:r>
      <w:r w:rsidR="00680F7B" w:rsidRPr="00A84443">
        <w:rPr>
          <w:sz w:val="16"/>
          <w:lang w:val="sr-Latn-RS"/>
        </w:rPr>
        <w:t>”);</w:t>
      </w:r>
      <w:r w:rsidR="00680F7B" w:rsidRPr="00A84443">
        <w:rPr>
          <w:spacing w:val="-12"/>
          <w:sz w:val="16"/>
          <w:lang w:val="sr-Latn-RS"/>
        </w:rPr>
        <w:t xml:space="preserve"> Član </w:t>
      </w:r>
      <w:r w:rsidR="00680F7B" w:rsidRPr="00A84443">
        <w:rPr>
          <w:sz w:val="16"/>
          <w:lang w:val="sr-Latn-RS"/>
        </w:rPr>
        <w:t>4</w:t>
      </w:r>
      <w:r w:rsidR="00680F7B" w:rsidRPr="00A84443">
        <w:rPr>
          <w:spacing w:val="-11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>Međunarodn</w:t>
      </w:r>
      <w:r w:rsidR="005E2C6D">
        <w:rPr>
          <w:sz w:val="16"/>
          <w:lang w:val="sr-Latn-RS"/>
        </w:rPr>
        <w:t>og</w:t>
      </w:r>
      <w:r w:rsidR="00680F7B" w:rsidRPr="00A84443">
        <w:rPr>
          <w:sz w:val="16"/>
          <w:lang w:val="sr-Latn-RS"/>
        </w:rPr>
        <w:t xml:space="preserve"> pakt</w:t>
      </w:r>
      <w:r w:rsidR="005E2C6D">
        <w:rPr>
          <w:sz w:val="16"/>
          <w:lang w:val="sr-Latn-RS"/>
        </w:rPr>
        <w:t>a</w:t>
      </w:r>
      <w:r w:rsidR="00680F7B" w:rsidRPr="00A84443">
        <w:rPr>
          <w:sz w:val="16"/>
          <w:lang w:val="sr-Latn-RS"/>
        </w:rPr>
        <w:t xml:space="preserve"> o građanskim i političkim pravima;</w:t>
      </w:r>
      <w:r w:rsidR="00680F7B" w:rsidRPr="00A84443">
        <w:rPr>
          <w:spacing w:val="-9"/>
          <w:sz w:val="16"/>
          <w:lang w:val="sr-Latn-RS"/>
        </w:rPr>
        <w:t xml:space="preserve"> Član </w:t>
      </w:r>
      <w:r w:rsidR="00680F7B" w:rsidRPr="00A84443">
        <w:rPr>
          <w:sz w:val="16"/>
          <w:lang w:val="sr-Latn-RS"/>
        </w:rPr>
        <w:t>27</w:t>
      </w:r>
      <w:r w:rsidR="00680F7B" w:rsidRPr="00A84443">
        <w:rPr>
          <w:spacing w:val="-11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>A</w:t>
      </w:r>
      <w:r w:rsidR="005E2C6D">
        <w:rPr>
          <w:sz w:val="16"/>
          <w:lang w:val="sr-Latn-RS"/>
        </w:rPr>
        <w:t>meričke konvencije o ljudskim pravima</w:t>
      </w:r>
      <w:r w:rsidR="00680F7B" w:rsidRPr="00A84443">
        <w:rPr>
          <w:sz w:val="16"/>
          <w:lang w:val="sr-Latn-RS"/>
        </w:rPr>
        <w:t>.</w:t>
      </w:r>
      <w:r w:rsidR="00680F7B" w:rsidRPr="00A84443">
        <w:rPr>
          <w:spacing w:val="-9"/>
          <w:sz w:val="16"/>
          <w:lang w:val="sr-Latn-RS"/>
        </w:rPr>
        <w:t xml:space="preserve"> U vezi sa </w:t>
      </w:r>
      <w:r w:rsidR="005E2C6D">
        <w:rPr>
          <w:spacing w:val="-9"/>
          <w:sz w:val="16"/>
          <w:lang w:val="sr-Latn-RS"/>
        </w:rPr>
        <w:t xml:space="preserve">vanrednim </w:t>
      </w:r>
      <w:r w:rsidR="00680F7B" w:rsidRPr="00A84443">
        <w:rPr>
          <w:spacing w:val="-9"/>
          <w:sz w:val="16"/>
          <w:lang w:val="sr-Latn-RS"/>
        </w:rPr>
        <w:t>ovlaš</w:t>
      </w:r>
      <w:r w:rsidR="00017C59">
        <w:rPr>
          <w:spacing w:val="-9"/>
          <w:sz w:val="16"/>
          <w:lang w:val="sr-Latn-RS"/>
        </w:rPr>
        <w:t>t</w:t>
      </w:r>
      <w:r w:rsidR="00680F7B" w:rsidRPr="00A84443">
        <w:rPr>
          <w:spacing w:val="-9"/>
          <w:sz w:val="16"/>
          <w:lang w:val="sr-Latn-RS"/>
        </w:rPr>
        <w:t xml:space="preserve">enjima </w:t>
      </w:r>
      <w:r w:rsidR="00680F7B" w:rsidRPr="00A84443">
        <w:rPr>
          <w:sz w:val="16"/>
          <w:lang w:val="sr-Latn-RS"/>
        </w:rPr>
        <w:t>takođe vid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eti izveštaje Venecijanske komisije o vanrednim ovlaš</w:t>
      </w:r>
      <w:r w:rsidR="00017C59">
        <w:rPr>
          <w:sz w:val="16"/>
          <w:lang w:val="sr-Latn-RS"/>
        </w:rPr>
        <w:t>t</w:t>
      </w:r>
      <w:r w:rsidR="00680F7B" w:rsidRPr="00A84443">
        <w:rPr>
          <w:sz w:val="16"/>
          <w:lang w:val="sr-Latn-RS"/>
        </w:rPr>
        <w:t>enjima (CDL-STD(1995)012)</w:t>
      </w:r>
      <w:r w:rsidR="00680F7B" w:rsidRPr="00A84443">
        <w:rPr>
          <w:spacing w:val="-3"/>
          <w:sz w:val="16"/>
          <w:lang w:val="sr-Latn-RS"/>
        </w:rPr>
        <w:t xml:space="preserve"> i o zaštiti ljudskih prava u vanrednim situacijama </w:t>
      </w:r>
      <w:r w:rsidR="00680F7B" w:rsidRPr="00A84443">
        <w:rPr>
          <w:sz w:val="16"/>
          <w:lang w:val="sr-Latn-RS"/>
        </w:rPr>
        <w:t>(CDL-AD(2006)015).</w:t>
      </w:r>
    </w:p>
  </w:footnote>
  <w:footnote w:id="11">
    <w:p w14:paraId="3ABB5653" w14:textId="69FEAB1A" w:rsidR="001B1751" w:rsidRPr="004D576E" w:rsidRDefault="001B1751" w:rsidP="00017C59">
      <w:pPr>
        <w:tabs>
          <w:tab w:val="left" w:pos="8647"/>
          <w:tab w:val="left" w:pos="8789"/>
        </w:tabs>
        <w:ind w:right="416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="00680F7B">
        <w:rPr>
          <w:lang w:val="sr-Latn-RS"/>
        </w:rPr>
        <w:t xml:space="preserve"> </w:t>
      </w:r>
      <w:r w:rsidR="00680F7B" w:rsidRPr="00A84443">
        <w:rPr>
          <w:sz w:val="16"/>
          <w:lang w:val="sr-Latn-RS"/>
        </w:rPr>
        <w:t>Načelo neophodnosti se ne pominje direktno u kontekstu institucionalnih vanrednih m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era, ali se može izvesti iz zaht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eva srazm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ernosti i neophodnosti vanrednih m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era u oblasti ljudskih prava –</w:t>
      </w:r>
      <w:r w:rsidR="00680F7B" w:rsidRPr="00A84443">
        <w:rPr>
          <w:spacing w:val="-13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>vid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 xml:space="preserve">eti  </w:t>
      </w:r>
      <w:hyperlink r:id="rId3" w:history="1">
        <w:r w:rsidR="00680F7B" w:rsidRPr="001B0D72">
          <w:rPr>
            <w:rStyle w:val="Hyperlink"/>
            <w:sz w:val="16"/>
            <w:lang w:val="sr-Latn-RS"/>
          </w:rPr>
          <w:t>Venecijanska komisija, Mišljenje o nacrtu ustavnog zakona o „Zaštiti nacije“ Francuske, CDL-AD(2016)006, stav 71</w:t>
        </w:r>
      </w:hyperlink>
      <w:r w:rsidR="00680F7B" w:rsidRPr="00A84443">
        <w:rPr>
          <w:sz w:val="16"/>
          <w:lang w:val="sr-Latn-RS"/>
        </w:rPr>
        <w:t>.</w:t>
      </w:r>
    </w:p>
  </w:footnote>
  <w:footnote w:id="12">
    <w:p w14:paraId="3FEB78C8" w14:textId="73852E7E" w:rsidR="004D576E" w:rsidRPr="004D576E" w:rsidRDefault="004D576E" w:rsidP="00017C59">
      <w:pPr>
        <w:pStyle w:val="FootnoteText"/>
        <w:tabs>
          <w:tab w:val="left" w:pos="8647"/>
          <w:tab w:val="left" w:pos="8789"/>
        </w:tabs>
        <w:rPr>
          <w:lang w:val="sr-Latn-RS"/>
        </w:rPr>
      </w:pPr>
      <w:r>
        <w:rPr>
          <w:rStyle w:val="FootnoteReference"/>
        </w:rPr>
        <w:footnoteRef/>
      </w:r>
      <w:r w:rsidR="001B0D72">
        <w:rPr>
          <w:sz w:val="16"/>
          <w:lang w:val="sr-Latn-RS"/>
        </w:rPr>
        <w:t xml:space="preserve"> </w:t>
      </w:r>
      <w:hyperlink r:id="rId4" w:history="1">
        <w:r w:rsidR="001B0D72">
          <w:rPr>
            <w:rStyle w:val="Hyperlink"/>
            <w:sz w:val="16"/>
            <w:lang w:val="sr-Latn-RS"/>
          </w:rPr>
          <w:t>D</w:t>
        </w:r>
        <w:r w:rsidRPr="001B0D72">
          <w:rPr>
            <w:rStyle w:val="Hyperlink"/>
            <w:sz w:val="16"/>
            <w:lang w:val="sr-Latn-RS"/>
          </w:rPr>
          <w:t xml:space="preserve">okument Komiteta ministara o </w:t>
        </w:r>
        <w:r w:rsidR="00017C59">
          <w:rPr>
            <w:rStyle w:val="Hyperlink"/>
            <w:sz w:val="16"/>
            <w:lang w:val="sr-Latn-RS"/>
          </w:rPr>
          <w:t>Vijeću</w:t>
        </w:r>
        <w:r w:rsidRPr="001B0D72">
          <w:rPr>
            <w:rStyle w:val="Hyperlink"/>
            <w:sz w:val="16"/>
            <w:lang w:val="sr-Latn-RS"/>
          </w:rPr>
          <w:t xml:space="preserve"> Evrope i vladavini </w:t>
        </w:r>
        <w:r w:rsidR="00017C59">
          <w:rPr>
            <w:rStyle w:val="Hyperlink"/>
            <w:sz w:val="16"/>
            <w:lang w:val="sr-Latn-RS"/>
          </w:rPr>
          <w:t>zakona</w:t>
        </w:r>
        <w:r w:rsidRPr="001B0D72">
          <w:rPr>
            <w:rStyle w:val="Hyperlink"/>
            <w:sz w:val="16"/>
            <w:lang w:val="sr-Latn-RS"/>
          </w:rPr>
          <w:t>, str. 46</w:t>
        </w:r>
      </w:hyperlink>
      <w:r w:rsidRPr="00A84443">
        <w:rPr>
          <w:sz w:val="16"/>
          <w:lang w:val="sr-Latn-RS"/>
        </w:rPr>
        <w:t>; takođe vid</w:t>
      </w:r>
      <w:r w:rsidR="00017C5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hyperlink r:id="rId5" w:history="1">
        <w:r w:rsidRPr="001A0542">
          <w:rPr>
            <w:rStyle w:val="Hyperlink"/>
            <w:sz w:val="16"/>
            <w:lang w:val="sr-Latn-RS"/>
          </w:rPr>
          <w:t>Venecijanska komisija, Parametri o odnosima između parlamentarne većine i opozicije u demokratiji: Kontrolna lista (CDL-AD(2019)019) stavovi 119-121),</w:t>
        </w:r>
      </w:hyperlink>
      <w:r w:rsidRPr="00A84443">
        <w:rPr>
          <w:sz w:val="16"/>
          <w:lang w:val="sr-Latn-RS"/>
        </w:rPr>
        <w:t xml:space="preserve"> i </w:t>
      </w:r>
      <w:hyperlink r:id="rId6" w:history="1">
        <w:r w:rsidR="001A0542" w:rsidRPr="001A0542">
          <w:rPr>
            <w:rStyle w:val="Hyperlink"/>
            <w:sz w:val="16"/>
            <w:lang w:val="sr-Latn-RS"/>
          </w:rPr>
          <w:t>Turska – Mišljene o vanrednim zakonima br. 667-676 usvojenim nakon neusp</w:t>
        </w:r>
        <w:r w:rsidR="00017C59">
          <w:rPr>
            <w:rStyle w:val="Hyperlink"/>
            <w:sz w:val="16"/>
            <w:lang w:val="sr-Latn-RS"/>
          </w:rPr>
          <w:t>j</w:t>
        </w:r>
        <w:r w:rsidR="001A0542" w:rsidRPr="001A0542">
          <w:rPr>
            <w:rStyle w:val="Hyperlink"/>
            <w:sz w:val="16"/>
            <w:lang w:val="sr-Latn-RS"/>
          </w:rPr>
          <w:t xml:space="preserve">elog </w:t>
        </w:r>
        <w:r w:rsidR="00511431">
          <w:rPr>
            <w:rStyle w:val="Hyperlink"/>
            <w:sz w:val="16"/>
            <w:lang w:val="sr-Latn-RS"/>
          </w:rPr>
          <w:t>vojnog udara</w:t>
        </w:r>
        <w:r w:rsidR="001A0542" w:rsidRPr="001A0542">
          <w:rPr>
            <w:rStyle w:val="Hyperlink"/>
            <w:sz w:val="16"/>
            <w:lang w:val="sr-Latn-RS"/>
          </w:rPr>
          <w:t xml:space="preserve"> 15. jula 2016., CDL- AD(2016)037, stav.</w:t>
        </w:r>
        <w:r w:rsidR="001A0542" w:rsidRPr="001A0542">
          <w:rPr>
            <w:rStyle w:val="Hyperlink"/>
            <w:spacing w:val="1"/>
            <w:sz w:val="16"/>
            <w:lang w:val="sr-Latn-RS"/>
          </w:rPr>
          <w:t xml:space="preserve"> </w:t>
        </w:r>
        <w:r w:rsidRPr="001A0542">
          <w:rPr>
            <w:rStyle w:val="Hyperlink"/>
            <w:sz w:val="16"/>
            <w:lang w:val="sr-Latn-RS"/>
          </w:rPr>
          <w:t>98</w:t>
        </w:r>
      </w:hyperlink>
      <w:r w:rsidRPr="00A84443">
        <w:rPr>
          <w:sz w:val="16"/>
          <w:lang w:val="sr-Latn-RS"/>
        </w:rPr>
        <w:t>.</w:t>
      </w:r>
    </w:p>
  </w:footnote>
  <w:footnote w:id="13">
    <w:p w14:paraId="47856733" w14:textId="169686F1" w:rsidR="004D576E" w:rsidRPr="004D576E" w:rsidRDefault="004D576E" w:rsidP="00017C59">
      <w:pPr>
        <w:pStyle w:val="FootnoteText"/>
        <w:tabs>
          <w:tab w:val="left" w:pos="8647"/>
          <w:tab w:val="left" w:pos="8789"/>
        </w:tabs>
        <w:rPr>
          <w:lang w:val="sr-Latn-RS"/>
        </w:rPr>
      </w:pPr>
      <w:r>
        <w:rPr>
          <w:rStyle w:val="FootnoteReference"/>
        </w:rPr>
        <w:footnoteRef/>
      </w:r>
      <w:r w:rsidRPr="004D576E">
        <w:rPr>
          <w:lang w:val="sr-Latn-RS"/>
        </w:rPr>
        <w:t xml:space="preserve"> </w:t>
      </w:r>
      <w:r w:rsidRPr="00A84443">
        <w:rPr>
          <w:sz w:val="16"/>
          <w:lang w:val="sr-Latn-RS"/>
        </w:rPr>
        <w:t>Značajan broj evropskih ustava sadrži odredbe koje zabranjuju izm</w:t>
      </w:r>
      <w:r w:rsidR="00017C5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ene ustava tokom rata, vanredn</w:t>
      </w:r>
      <w:r w:rsidR="006C693A">
        <w:rPr>
          <w:sz w:val="16"/>
          <w:lang w:val="sr-Latn-RS"/>
        </w:rPr>
        <w:t>ih</w:t>
      </w:r>
      <w:r w:rsidRPr="00A84443">
        <w:rPr>
          <w:sz w:val="16"/>
          <w:lang w:val="sr-Latn-RS"/>
        </w:rPr>
        <w:t xml:space="preserve"> i</w:t>
      </w:r>
      <w:r w:rsidR="006C693A">
        <w:rPr>
          <w:sz w:val="16"/>
          <w:lang w:val="sr-Latn-RS"/>
        </w:rPr>
        <w:t>li</w:t>
      </w:r>
      <w:r w:rsidRPr="00A84443">
        <w:rPr>
          <w:sz w:val="16"/>
          <w:lang w:val="sr-Latn-RS"/>
        </w:rPr>
        <w:t xml:space="preserve"> sličnih situacija. Vid</w:t>
      </w:r>
      <w:r w:rsidR="00017C5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takođe </w:t>
      </w:r>
      <w:hyperlink r:id="rId7" w:history="1">
        <w:r w:rsidRPr="001A0542">
          <w:rPr>
            <w:rStyle w:val="Hyperlink"/>
            <w:sz w:val="16"/>
            <w:lang w:val="sr-Latn-RS"/>
          </w:rPr>
          <w:t>Venecijanska komisija</w:t>
        </w:r>
        <w:r w:rsidR="001A0542" w:rsidRPr="001A0542">
          <w:rPr>
            <w:rStyle w:val="Hyperlink"/>
            <w:sz w:val="16"/>
            <w:lang w:val="sr-Latn-RS"/>
          </w:rPr>
          <w:t>, Turska – Mišljenje o vanrednim zakonima br. 667-676 usvojenim nakon neusp</w:t>
        </w:r>
        <w:r w:rsidR="00017C59">
          <w:rPr>
            <w:rStyle w:val="Hyperlink"/>
            <w:sz w:val="16"/>
            <w:lang w:val="sr-Latn-RS"/>
          </w:rPr>
          <w:t>j</w:t>
        </w:r>
        <w:r w:rsidR="001A0542" w:rsidRPr="001A0542">
          <w:rPr>
            <w:rStyle w:val="Hyperlink"/>
            <w:sz w:val="16"/>
            <w:lang w:val="sr-Latn-RS"/>
          </w:rPr>
          <w:t xml:space="preserve">elog </w:t>
        </w:r>
        <w:r w:rsidR="00511431">
          <w:rPr>
            <w:rStyle w:val="Hyperlink"/>
            <w:sz w:val="16"/>
            <w:lang w:val="sr-Latn-RS"/>
          </w:rPr>
          <w:t>vojnog udara</w:t>
        </w:r>
        <w:r w:rsidR="001A0542" w:rsidRPr="001A0542">
          <w:rPr>
            <w:rStyle w:val="Hyperlink"/>
            <w:sz w:val="16"/>
            <w:lang w:val="sr-Latn-RS"/>
          </w:rPr>
          <w:t xml:space="preserve"> 15. jula 2016., CDL- AD(2016)037, stav.</w:t>
        </w:r>
        <w:r w:rsidR="001A0542" w:rsidRPr="001A0542">
          <w:rPr>
            <w:rStyle w:val="Hyperlink"/>
            <w:spacing w:val="1"/>
            <w:sz w:val="16"/>
            <w:lang w:val="sr-Latn-RS"/>
          </w:rPr>
          <w:t xml:space="preserve"> </w:t>
        </w:r>
        <w:r w:rsidR="001A0542" w:rsidRPr="001A0542">
          <w:rPr>
            <w:rStyle w:val="Hyperlink"/>
            <w:sz w:val="16"/>
            <w:lang w:val="sr-Latn-RS"/>
          </w:rPr>
          <w:t>80 i 90</w:t>
        </w:r>
      </w:hyperlink>
      <w:r w:rsidR="001A0542">
        <w:rPr>
          <w:sz w:val="16"/>
          <w:lang w:val="sr-Latn-RS"/>
        </w:rPr>
        <w:t>)</w:t>
      </w:r>
      <w:r w:rsidRPr="00A84443">
        <w:rPr>
          <w:sz w:val="16"/>
          <w:lang w:val="sr-Latn-RS"/>
        </w:rPr>
        <w:t>.</w:t>
      </w:r>
    </w:p>
  </w:footnote>
  <w:footnote w:id="14">
    <w:p w14:paraId="63D4E17F" w14:textId="3199AFF4" w:rsidR="001B1EB9" w:rsidRPr="001B1EB9" w:rsidRDefault="001B1EB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B1EB9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 Preporuku PS</w:t>
      </w:r>
      <w:r w:rsidR="00E54599">
        <w:rPr>
          <w:sz w:val="16"/>
          <w:lang w:val="sr-Latn-RS"/>
        </w:rPr>
        <w:t>VE</w:t>
      </w:r>
      <w:r w:rsidRPr="00A84443">
        <w:rPr>
          <w:sz w:val="16"/>
          <w:lang w:val="sr-Latn-RS"/>
        </w:rPr>
        <w:t xml:space="preserve"> 1713 (2005), Demokratska kontrola nad sektorom bezb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ednosti u državama članicama, str. 38</w:t>
      </w:r>
    </w:p>
  </w:footnote>
  <w:footnote w:id="15">
    <w:p w14:paraId="78DBBA65" w14:textId="77777777" w:rsidR="001B1EB9" w:rsidRPr="001B1EB9" w:rsidRDefault="001B1EB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B1EB9">
        <w:rPr>
          <w:lang w:val="sr-Latn-RS"/>
        </w:rPr>
        <w:t xml:space="preserve"> </w:t>
      </w:r>
      <w:r w:rsidRPr="00A84443">
        <w:rPr>
          <w:sz w:val="16"/>
          <w:lang w:val="sr-Latn-RS"/>
        </w:rPr>
        <w:t>Venecijanska komisija, Kontrolna lista za vladavinu prava (CDL-AD(2016)007), stav 51.</w:t>
      </w:r>
    </w:p>
  </w:footnote>
  <w:footnote w:id="16">
    <w:p w14:paraId="208ABF29" w14:textId="6FFFFBC1" w:rsidR="0033774D" w:rsidRPr="0033774D" w:rsidRDefault="0033774D" w:rsidP="00DB0C5E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 w:rsidRPr="0033774D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r>
        <w:rPr>
          <w:sz w:val="16"/>
          <w:lang w:val="sr-Latn-RS"/>
        </w:rPr>
        <w:t>opis</w:t>
      </w:r>
      <w:r w:rsidRPr="00A84443">
        <w:rPr>
          <w:sz w:val="16"/>
          <w:lang w:val="sr-Latn-RS"/>
        </w:rPr>
        <w:t xml:space="preserve"> činjenic</w:t>
      </w:r>
      <w:r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 xml:space="preserve"> “Prava zatvorenika u vezi sa zdravljem” koju je objavi</w:t>
      </w:r>
      <w:r w:rsidR="00F52B63">
        <w:rPr>
          <w:sz w:val="16"/>
          <w:lang w:val="sr-Latn-RS"/>
        </w:rPr>
        <w:t xml:space="preserve">o </w:t>
      </w:r>
      <w:r>
        <w:rPr>
          <w:sz w:val="16"/>
          <w:lang w:val="sr-Latn-RS"/>
        </w:rPr>
        <w:t>Sekretarijat</w:t>
      </w:r>
      <w:r w:rsidRPr="00A84443">
        <w:rPr>
          <w:sz w:val="16"/>
          <w:lang w:val="sr-Latn-RS"/>
        </w:rPr>
        <w:t xml:space="preserve"> Suda</w:t>
      </w:r>
    </w:p>
  </w:footnote>
  <w:footnote w:id="17">
    <w:p w14:paraId="05D45526" w14:textId="68BDF235" w:rsidR="0033774D" w:rsidRPr="0033774D" w:rsidRDefault="0033774D" w:rsidP="00DB0C5E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 w:rsidRPr="0033774D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r w:rsidRPr="00A84443">
        <w:rPr>
          <w:i/>
          <w:sz w:val="16"/>
          <w:lang w:val="sr-Latn-RS"/>
        </w:rPr>
        <w:t>Khudobin protiv Rusije,</w:t>
      </w:r>
      <w:r w:rsidRPr="00A84443">
        <w:rPr>
          <w:sz w:val="16"/>
          <w:lang w:val="sr-Latn-RS"/>
        </w:rPr>
        <w:t xml:space="preserve"> br. 59896/00, 26. oktobar 2006 ; Kako je CPT detaljno naveo u svojoj Izjavi o načelima postupanja prema licima lišenim slobode u kontekstu pandemije bolesti COVID-19, “neprim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eren nivo zdravstvene zaštite može brzo da uzrokuje situacije koje potpadaju pod “nečov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ečno i ponižavajuće postupanje”</w:t>
      </w:r>
    </w:p>
  </w:footnote>
  <w:footnote w:id="18">
    <w:p w14:paraId="3DD350B2" w14:textId="4115FB7C" w:rsidR="00DB0C5E" w:rsidRPr="00DB0C5E" w:rsidRDefault="00DB0C5E" w:rsidP="00DB0C5E">
      <w:pPr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>
        <w:rPr>
          <w:lang w:val="sr-Latn-RS"/>
        </w:rPr>
        <w:t xml:space="preserve"> </w:t>
      </w:r>
      <w:r w:rsidRPr="00A84443">
        <w:rPr>
          <w:sz w:val="16"/>
          <w:lang w:val="sr-Latn-RS"/>
        </w:rPr>
        <w:t>Komesarka za ljudska prava, koja u svom radu često naglašava da veliki sm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eštajni objekti u kojima se nalaze lica lišena slobode nisu prim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ereni za osobe sa invaliditetom i starije osobe, pozvala je države članice koje se suočavaju sa pandemijom da obustave nove prijeme u te ustanove, da iz njih izm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este osobe sa invaliditetom koliko god je to moguće, i da preduzmu sve neophodne m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ere za zaštitu osoba koje u njima ostaju; Izjava Komesarke: </w:t>
      </w:r>
      <w:hyperlink r:id="rId8">
        <w:r w:rsidRPr="00A84443">
          <w:rPr>
            <w:color w:val="315397"/>
            <w:sz w:val="16"/>
            <w:lang w:val="sr-Latn-RS"/>
          </w:rPr>
          <w:t>Starijim osobama je u vr</w:t>
        </w:r>
        <w:r w:rsidR="005C0458">
          <w:rPr>
            <w:color w:val="315397"/>
            <w:sz w:val="16"/>
            <w:lang w:val="sr-Latn-RS"/>
          </w:rPr>
          <w:t>ij</w:t>
        </w:r>
        <w:r w:rsidRPr="00A84443">
          <w:rPr>
            <w:color w:val="315397"/>
            <w:sz w:val="16"/>
            <w:lang w:val="sr-Latn-RS"/>
          </w:rPr>
          <w:t xml:space="preserve">eme trajanja pandemije COVID-19 potrebna veća podrška nego ikada, 20. mart </w:t>
        </w:r>
      </w:hyperlink>
      <w:r w:rsidRPr="00A84443">
        <w:rPr>
          <w:sz w:val="16"/>
          <w:lang w:val="sr-Latn-RS"/>
        </w:rPr>
        <w:t>2020,</w:t>
      </w:r>
      <w:r w:rsidRPr="00A84443">
        <w:rPr>
          <w:spacing w:val="-2"/>
          <w:sz w:val="16"/>
          <w:lang w:val="sr-Latn-RS"/>
        </w:rPr>
        <w:t xml:space="preserve"> i </w:t>
      </w:r>
      <w:hyperlink r:id="rId9" w:history="1">
        <w:r w:rsidR="00BC2FA8">
          <w:rPr>
            <w:rStyle w:val="Hyperlink"/>
            <w:spacing w:val="-2"/>
            <w:sz w:val="16"/>
            <w:lang w:val="sr-Latn-RS"/>
          </w:rPr>
          <w:t>O</w:t>
        </w:r>
        <w:r w:rsidRPr="00F37EB2">
          <w:rPr>
            <w:rStyle w:val="Hyperlink"/>
            <w:spacing w:val="-2"/>
            <w:sz w:val="16"/>
            <w:lang w:val="sr-Latn-RS"/>
          </w:rPr>
          <w:t>sobe sa invaliditetom ne sm</w:t>
        </w:r>
        <w:r w:rsidR="005C0458">
          <w:rPr>
            <w:rStyle w:val="Hyperlink"/>
            <w:spacing w:val="-2"/>
            <w:sz w:val="16"/>
            <w:lang w:val="sr-Latn-RS"/>
          </w:rPr>
          <w:t>iju</w:t>
        </w:r>
        <w:r w:rsidRPr="00F37EB2">
          <w:rPr>
            <w:rStyle w:val="Hyperlink"/>
            <w:spacing w:val="-2"/>
            <w:sz w:val="16"/>
            <w:lang w:val="sr-Latn-RS"/>
          </w:rPr>
          <w:t xml:space="preserve"> da budu izostavljene tokom odgovora na pandemiju COVID-19, 2. april 2020</w:t>
        </w:r>
        <w:r w:rsidRPr="00F37EB2">
          <w:rPr>
            <w:rStyle w:val="Hyperlink"/>
            <w:sz w:val="16"/>
            <w:lang w:val="sr-Latn-RS"/>
          </w:rPr>
          <w:t>.</w:t>
        </w:r>
      </w:hyperlink>
      <w:r w:rsidRPr="00A84443">
        <w:rPr>
          <w:sz w:val="16"/>
          <w:lang w:val="sr-Latn-RS"/>
        </w:rPr>
        <w:t xml:space="preserve"> </w:t>
      </w:r>
    </w:p>
  </w:footnote>
  <w:footnote w:id="19">
    <w:p w14:paraId="6ECB97D9" w14:textId="77777777" w:rsidR="00DB0C5E" w:rsidRPr="00DB0C5E" w:rsidRDefault="00DB0C5E" w:rsidP="00DB0C5E">
      <w:pPr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 w:rsidRPr="00A84443">
        <w:rPr>
          <w:sz w:val="16"/>
          <w:lang w:val="sr-Latn-RS"/>
        </w:rPr>
        <w:t>E</w:t>
      </w:r>
      <w:r w:rsidR="00BC2FA8">
        <w:rPr>
          <w:sz w:val="16"/>
          <w:lang w:val="sr-Latn-RS"/>
        </w:rPr>
        <w:t>vropski komitet za socijalna prava</w:t>
      </w:r>
      <w:r w:rsidRPr="00A84443">
        <w:rPr>
          <w:sz w:val="16"/>
          <w:lang w:val="sr-Latn-RS"/>
        </w:rPr>
        <w:t>, Zaključci XVII-2 (2005),</w:t>
      </w:r>
      <w:r w:rsidRPr="00A84443">
        <w:rPr>
          <w:spacing w:val="-8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Letonija.</w:t>
      </w:r>
    </w:p>
  </w:footnote>
  <w:footnote w:id="20">
    <w:p w14:paraId="138D6236" w14:textId="5A7DF627" w:rsidR="00DB0C5E" w:rsidRPr="00834C5B" w:rsidRDefault="00DB0C5E" w:rsidP="00834C5B">
      <w:pPr>
        <w:spacing w:line="180" w:lineRule="exact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Pr="00DB0C5E">
        <w:rPr>
          <w:lang w:val="sr-Latn-RS"/>
        </w:rPr>
        <w:t xml:space="preserve"> </w:t>
      </w:r>
      <w:r w:rsidRPr="00A84443">
        <w:rPr>
          <w:sz w:val="16"/>
          <w:lang w:val="sr-Latn-RS"/>
        </w:rPr>
        <w:t xml:space="preserve">Konvencija </w:t>
      </w:r>
      <w:r w:rsidR="005C0458">
        <w:rPr>
          <w:sz w:val="16"/>
          <w:lang w:val="sr-Latn-RS"/>
        </w:rPr>
        <w:t>Vijeća</w:t>
      </w:r>
      <w:r w:rsidRPr="00A84443">
        <w:rPr>
          <w:sz w:val="16"/>
          <w:lang w:val="sr-Latn-RS"/>
        </w:rPr>
        <w:t xml:space="preserve"> Evrope o razradi evropske farmakopeje, ETS br. 050, Strazbur, 22. juli 1964, i Protokol uz Konvenciju o razradi evropske farmakopeje, ETS br. 134, Strazbur, 1. novembar 1989</w:t>
      </w:r>
    </w:p>
  </w:footnote>
  <w:footnote w:id="21">
    <w:p w14:paraId="31FD6731" w14:textId="2D591F25" w:rsidR="00834C5B" w:rsidRPr="00A84443" w:rsidRDefault="00834C5B" w:rsidP="00834C5B">
      <w:pPr>
        <w:spacing w:line="185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834C5B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eti: Evropski sud za ljudska prava, </w:t>
      </w:r>
      <w:r w:rsidRPr="00A84443">
        <w:rPr>
          <w:i/>
          <w:sz w:val="16"/>
          <w:lang w:val="sr-Latn-RS"/>
        </w:rPr>
        <w:t>Guerra i ostali protiv Italije</w:t>
      </w:r>
      <w:r w:rsidRPr="00A84443">
        <w:rPr>
          <w:sz w:val="16"/>
          <w:lang w:val="sr-Latn-RS"/>
        </w:rPr>
        <w:t xml:space="preserve">, presuda od 19. februara 1998, </w:t>
      </w:r>
      <w:r w:rsidRPr="00A84443">
        <w:rPr>
          <w:i/>
          <w:sz w:val="16"/>
          <w:lang w:val="sr-Latn-RS"/>
        </w:rPr>
        <w:t xml:space="preserve">Izveštaji o presudama i odlukama </w:t>
      </w:r>
      <w:r w:rsidRPr="00A84443">
        <w:rPr>
          <w:sz w:val="16"/>
          <w:lang w:val="sr-Latn-RS"/>
        </w:rPr>
        <w:t xml:space="preserve">1998-I, str. 227, § 58 ; </w:t>
      </w:r>
      <w:r w:rsidRPr="00A84443">
        <w:rPr>
          <w:i/>
          <w:sz w:val="16"/>
          <w:lang w:val="sr-Latn-RS"/>
        </w:rPr>
        <w:t xml:space="preserve">Öneryildiz protiv Turske </w:t>
      </w:r>
      <w:r w:rsidRPr="00A84443">
        <w:rPr>
          <w:sz w:val="16"/>
          <w:lang w:val="sr-Latn-RS"/>
        </w:rPr>
        <w:t>[GC], br. 48939/99, 30. novembar 2004.</w:t>
      </w:r>
    </w:p>
    <w:p w14:paraId="616C97C5" w14:textId="77777777" w:rsidR="00834C5B" w:rsidRPr="00834C5B" w:rsidRDefault="00834C5B">
      <w:pPr>
        <w:pStyle w:val="FootnoteText"/>
        <w:rPr>
          <w:lang w:val="sr-Latn-RS"/>
        </w:rPr>
      </w:pPr>
    </w:p>
  </w:footnote>
  <w:footnote w:id="22">
    <w:p w14:paraId="1E0739A9" w14:textId="0AEE7C0B" w:rsidR="009E7094" w:rsidRPr="009E7094" w:rsidRDefault="009E709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9E7094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presudu u predmetu </w:t>
      </w:r>
      <w:r w:rsidRPr="00A84443">
        <w:rPr>
          <w:i/>
          <w:sz w:val="16"/>
          <w:lang w:val="sr-Latn-RS"/>
        </w:rPr>
        <w:t>Mehmet</w:t>
      </w:r>
      <w:r w:rsidRPr="00A84443">
        <w:rPr>
          <w:i/>
          <w:spacing w:val="-9"/>
          <w:sz w:val="16"/>
          <w:lang w:val="sr-Latn-RS"/>
        </w:rPr>
        <w:t xml:space="preserve"> </w:t>
      </w:r>
      <w:r w:rsidRPr="00A84443">
        <w:rPr>
          <w:i/>
          <w:sz w:val="16"/>
          <w:lang w:val="sr-Latn-RS"/>
        </w:rPr>
        <w:t>Hasan</w:t>
      </w:r>
      <w:r w:rsidRPr="00A84443">
        <w:rPr>
          <w:i/>
          <w:spacing w:val="-12"/>
          <w:sz w:val="16"/>
          <w:lang w:val="sr-Latn-RS"/>
        </w:rPr>
        <w:t xml:space="preserve"> </w:t>
      </w:r>
      <w:r w:rsidRPr="00A84443">
        <w:rPr>
          <w:i/>
          <w:sz w:val="16"/>
          <w:lang w:val="sr-Latn-RS"/>
        </w:rPr>
        <w:t>Altan</w:t>
      </w:r>
      <w:r w:rsidRPr="00A84443">
        <w:rPr>
          <w:i/>
          <w:spacing w:val="-11"/>
          <w:sz w:val="16"/>
          <w:lang w:val="sr-Latn-RS"/>
        </w:rPr>
        <w:t xml:space="preserve"> protiv </w:t>
      </w:r>
      <w:r w:rsidRPr="00A84443">
        <w:rPr>
          <w:i/>
          <w:sz w:val="16"/>
          <w:lang w:val="sr-Latn-RS"/>
        </w:rPr>
        <w:t>Turske</w:t>
      </w:r>
      <w:r w:rsidRPr="00A84443">
        <w:rPr>
          <w:sz w:val="16"/>
          <w:lang w:val="sr-Latn-RS"/>
        </w:rPr>
        <w:t>,</w:t>
      </w:r>
      <w:r w:rsidRPr="00A84443">
        <w:rPr>
          <w:spacing w:val="-9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13237/17,</w:t>
      </w:r>
      <w:r w:rsidRPr="00A84443">
        <w:rPr>
          <w:spacing w:val="-10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20. mart 2018</w:t>
      </w:r>
      <w:r w:rsidRPr="00A84443">
        <w:rPr>
          <w:spacing w:val="-11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;</w:t>
      </w:r>
      <w:r w:rsidRPr="00A84443">
        <w:rPr>
          <w:spacing w:val="-10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što se tiče slobode okupljanja vid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 presudu u predmetu</w:t>
      </w:r>
      <w:r w:rsidRPr="00A84443">
        <w:rPr>
          <w:spacing w:val="-10"/>
          <w:sz w:val="16"/>
          <w:lang w:val="sr-Latn-RS"/>
        </w:rPr>
        <w:t xml:space="preserve"> </w:t>
      </w:r>
      <w:r w:rsidRPr="00A84443">
        <w:rPr>
          <w:i/>
          <w:sz w:val="16"/>
          <w:lang w:val="sr-Latn-RS"/>
        </w:rPr>
        <w:t>Lashmankin</w:t>
      </w:r>
      <w:r w:rsidRPr="00A84443">
        <w:rPr>
          <w:i/>
          <w:spacing w:val="-11"/>
          <w:sz w:val="16"/>
          <w:lang w:val="sr-Latn-RS"/>
        </w:rPr>
        <w:t xml:space="preserve"> i ostali protiv Rusije</w:t>
      </w:r>
      <w:r w:rsidRPr="00A84443">
        <w:rPr>
          <w:sz w:val="16"/>
          <w:lang w:val="sr-Latn-RS"/>
        </w:rPr>
        <w:t>, br.</w:t>
      </w:r>
      <w:r w:rsidRPr="00A84443">
        <w:rPr>
          <w:spacing w:val="-5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57818/09,</w:t>
      </w:r>
      <w:r w:rsidRPr="00A84443">
        <w:rPr>
          <w:spacing w:val="-5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7. februar 2017,</w:t>
      </w:r>
      <w:r w:rsidRPr="00A84443">
        <w:rPr>
          <w:spacing w:val="-5"/>
          <w:sz w:val="16"/>
          <w:lang w:val="sr-Latn-RS"/>
        </w:rPr>
        <w:t xml:space="preserve"> stav </w:t>
      </w:r>
      <w:r w:rsidRPr="00A84443">
        <w:rPr>
          <w:sz w:val="16"/>
          <w:lang w:val="sr-Latn-RS"/>
        </w:rPr>
        <w:t>434;</w:t>
      </w:r>
      <w:r w:rsidRPr="00A84443">
        <w:rPr>
          <w:spacing w:val="-5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u ovom predmetu Sud je presudio da je opšte razbijanje demonstracija prihvatljivo ukoliko postoji stvarna pr</w:t>
      </w:r>
      <w:r w:rsidR="00D0058C">
        <w:rPr>
          <w:sz w:val="16"/>
          <w:lang w:val="sr-Latn-RS"/>
        </w:rPr>
        <w:t>ij</w:t>
      </w:r>
      <w:r w:rsidRPr="00A84443">
        <w:rPr>
          <w:sz w:val="16"/>
          <w:lang w:val="sr-Latn-RS"/>
        </w:rPr>
        <w:t>etnja da će iste dovesti do nereda koje nije moguće spr</w:t>
      </w:r>
      <w:r w:rsidR="00D0058C">
        <w:rPr>
          <w:sz w:val="16"/>
          <w:lang w:val="sr-Latn-RS"/>
        </w:rPr>
        <w:t>ij</w:t>
      </w:r>
      <w:r w:rsidRPr="00A84443">
        <w:rPr>
          <w:sz w:val="16"/>
          <w:lang w:val="sr-Latn-RS"/>
        </w:rPr>
        <w:t>ečiti drugim, manje strogim m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erama i ukoliko negativni aspekti uticaja zabrane na demonstracije očito imaju manju težinu od bezb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ednosnih obrazloženja koja se navode.</w:t>
      </w:r>
    </w:p>
  </w:footnote>
  <w:footnote w:id="23">
    <w:p w14:paraId="163BBAC0" w14:textId="408519F5" w:rsidR="009E7094" w:rsidRPr="009E7094" w:rsidRDefault="009E709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CB5511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eti: </w:t>
      </w:r>
      <w:r w:rsidR="00D0058C">
        <w:rPr>
          <w:sz w:val="16"/>
          <w:lang w:val="sr-Latn-RS"/>
        </w:rPr>
        <w:t>Vijeće</w:t>
      </w:r>
      <w:r w:rsidR="00CB5511">
        <w:rPr>
          <w:sz w:val="16"/>
          <w:lang w:val="sr-Latn-RS"/>
        </w:rPr>
        <w:t xml:space="preserve"> Evrope </w:t>
      </w:r>
      <w:hyperlink r:id="rId10" w:history="1">
        <w:r w:rsidR="00CB5511" w:rsidRPr="00186AC0">
          <w:rPr>
            <w:rStyle w:val="Hyperlink"/>
            <w:sz w:val="16"/>
            <w:lang w:val="sr-Latn-RS"/>
          </w:rPr>
          <w:t>Sm</w:t>
        </w:r>
        <w:r w:rsidR="00D0058C">
          <w:rPr>
            <w:rStyle w:val="Hyperlink"/>
            <w:sz w:val="16"/>
            <w:lang w:val="sr-Latn-RS"/>
          </w:rPr>
          <w:t>j</w:t>
        </w:r>
        <w:r w:rsidR="00CB5511" w:rsidRPr="00186AC0">
          <w:rPr>
            <w:rStyle w:val="Hyperlink"/>
            <w:sz w:val="16"/>
            <w:lang w:val="sr-Latn-RS"/>
          </w:rPr>
          <w:t>ernice o zaštiti slobode izražavanja i informisanja u vr</w:t>
        </w:r>
        <w:r w:rsidR="00D0058C">
          <w:rPr>
            <w:rStyle w:val="Hyperlink"/>
            <w:sz w:val="16"/>
            <w:lang w:val="sr-Latn-RS"/>
          </w:rPr>
          <w:t>ij</w:t>
        </w:r>
        <w:r w:rsidR="00CB5511" w:rsidRPr="00186AC0">
          <w:rPr>
            <w:rStyle w:val="Hyperlink"/>
            <w:sz w:val="16"/>
            <w:lang w:val="sr-Latn-RS"/>
          </w:rPr>
          <w:t>eme krize.</w:t>
        </w:r>
      </w:hyperlink>
    </w:p>
  </w:footnote>
  <w:footnote w:id="24">
    <w:p w14:paraId="0C780DA0" w14:textId="6C8AE38B" w:rsidR="009E7094" w:rsidRPr="009E7094" w:rsidRDefault="009E709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C71C5C">
        <w:rPr>
          <w:lang w:val="en-GB"/>
        </w:rPr>
        <w:t xml:space="preserve"> </w:t>
      </w:r>
      <w:r w:rsidRPr="00A84443">
        <w:rPr>
          <w:sz w:val="16"/>
          <w:lang w:val="sr-Latn-RS"/>
        </w:rPr>
        <w:t>Vid</w:t>
      </w:r>
      <w:r w:rsidR="00C1300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eti, na prim</w:t>
      </w:r>
      <w:r w:rsidR="00C13008">
        <w:rPr>
          <w:sz w:val="16"/>
          <w:lang w:val="sr-Latn-RS"/>
        </w:rPr>
        <w:t>ij</w:t>
      </w:r>
      <w:r w:rsidRPr="00A84443">
        <w:rPr>
          <w:sz w:val="16"/>
          <w:lang w:val="sr-Latn-RS"/>
        </w:rPr>
        <w:t xml:space="preserve">er, predmet </w:t>
      </w:r>
      <w:r w:rsidRPr="00A84443">
        <w:rPr>
          <w:i/>
          <w:sz w:val="16"/>
          <w:lang w:val="sr-Latn-RS"/>
        </w:rPr>
        <w:t xml:space="preserve">Magyar Helsinki </w:t>
      </w:r>
      <w:r w:rsidRPr="00A84443">
        <w:rPr>
          <w:sz w:val="16"/>
          <w:lang w:val="sr-Latn-RS"/>
        </w:rPr>
        <w:t>[GC], stavovi 156-170).</w:t>
      </w:r>
    </w:p>
  </w:footnote>
  <w:footnote w:id="25">
    <w:p w14:paraId="74AF7D9A" w14:textId="77777777" w:rsidR="009E7094" w:rsidRPr="009E7094" w:rsidRDefault="009E709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i/>
          <w:sz w:val="16"/>
          <w:lang w:val="sr-Latn-RS"/>
        </w:rPr>
        <w:t xml:space="preserve">Cumpana Mazare </w:t>
      </w:r>
      <w:r w:rsidRPr="00A84443">
        <w:rPr>
          <w:sz w:val="16"/>
          <w:lang w:val="sr-Latn-RS"/>
        </w:rPr>
        <w:t>[GC], stav 118.</w:t>
      </w:r>
    </w:p>
  </w:footnote>
  <w:footnote w:id="26">
    <w:p w14:paraId="0B726BEB" w14:textId="77777777" w:rsidR="00720C0F" w:rsidRPr="00720C0F" w:rsidRDefault="00720C0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720C0F">
        <w:rPr>
          <w:lang w:val="sr-Latn-RS"/>
        </w:rPr>
        <w:t xml:space="preserve"> </w:t>
      </w:r>
      <w:hyperlink r:id="rId11" w:history="1">
        <w:r w:rsidR="00186AC0" w:rsidRPr="006E5655">
          <w:rPr>
            <w:rStyle w:val="Hyperlink"/>
            <w:sz w:val="16"/>
            <w:lang w:val="sr-Latn-RS"/>
          </w:rPr>
          <w:t>https://www.bbc.com/news/world-asia-china-51403795</w:t>
        </w:r>
      </w:hyperlink>
    </w:p>
  </w:footnote>
  <w:footnote w:id="27">
    <w:p w14:paraId="3FA2CA4C" w14:textId="65F13267" w:rsidR="00720C0F" w:rsidRPr="00720C0F" w:rsidRDefault="00720C0F" w:rsidP="00720C0F">
      <w:pPr>
        <w:spacing w:line="185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186AC0">
        <w:rPr>
          <w:lang w:val="sr-Latn-RS"/>
        </w:rPr>
        <w:t xml:space="preserve"> </w:t>
      </w:r>
      <w:r w:rsidR="00186AC0" w:rsidRPr="00A84443">
        <w:rPr>
          <w:sz w:val="16"/>
          <w:lang w:val="sr-Latn-RS"/>
        </w:rPr>
        <w:t>Vid</w:t>
      </w:r>
      <w:r w:rsidR="00C13008">
        <w:rPr>
          <w:sz w:val="16"/>
          <w:lang w:val="sr-Latn-RS"/>
        </w:rPr>
        <w:t>j</w:t>
      </w:r>
      <w:r w:rsidR="00186AC0" w:rsidRPr="00A84443">
        <w:rPr>
          <w:sz w:val="16"/>
          <w:lang w:val="sr-Latn-RS"/>
        </w:rPr>
        <w:t xml:space="preserve">eti: </w:t>
      </w:r>
      <w:r w:rsidR="00C13008">
        <w:rPr>
          <w:sz w:val="16"/>
          <w:lang w:val="sr-Latn-RS"/>
        </w:rPr>
        <w:t>Vijeće</w:t>
      </w:r>
      <w:r w:rsidR="00186AC0">
        <w:rPr>
          <w:sz w:val="16"/>
          <w:lang w:val="sr-Latn-RS"/>
        </w:rPr>
        <w:t xml:space="preserve"> Evrope </w:t>
      </w:r>
      <w:hyperlink r:id="rId12" w:history="1">
        <w:r w:rsidR="00186AC0" w:rsidRPr="00186AC0">
          <w:rPr>
            <w:rStyle w:val="Hyperlink"/>
            <w:sz w:val="16"/>
            <w:lang w:val="sr-Latn-RS"/>
          </w:rPr>
          <w:t>Sm</w:t>
        </w:r>
        <w:r w:rsidR="00C13008">
          <w:rPr>
            <w:rStyle w:val="Hyperlink"/>
            <w:sz w:val="16"/>
            <w:lang w:val="sr-Latn-RS"/>
          </w:rPr>
          <w:t>j</w:t>
        </w:r>
        <w:r w:rsidR="00186AC0" w:rsidRPr="00186AC0">
          <w:rPr>
            <w:rStyle w:val="Hyperlink"/>
            <w:sz w:val="16"/>
            <w:lang w:val="sr-Latn-RS"/>
          </w:rPr>
          <w:t>ernice o zaštiti slobode izražavanja i informisanja u vr</w:t>
        </w:r>
        <w:r w:rsidR="00C13008">
          <w:rPr>
            <w:rStyle w:val="Hyperlink"/>
            <w:sz w:val="16"/>
            <w:lang w:val="sr-Latn-RS"/>
          </w:rPr>
          <w:t>ij</w:t>
        </w:r>
        <w:r w:rsidR="00186AC0" w:rsidRPr="00186AC0">
          <w:rPr>
            <w:rStyle w:val="Hyperlink"/>
            <w:sz w:val="16"/>
            <w:lang w:val="sr-Latn-RS"/>
          </w:rPr>
          <w:t>eme krize.</w:t>
        </w:r>
      </w:hyperlink>
    </w:p>
  </w:footnote>
  <w:footnote w:id="28">
    <w:p w14:paraId="63379ABA" w14:textId="10F6C885" w:rsidR="00720C0F" w:rsidRPr="00186AC0" w:rsidRDefault="00720C0F" w:rsidP="00186AC0">
      <w:pPr>
        <w:rPr>
          <w:sz w:val="16"/>
          <w:lang w:val="sr-Latn-RS"/>
        </w:rPr>
      </w:pPr>
      <w:r>
        <w:rPr>
          <w:rStyle w:val="FootnoteReference"/>
        </w:rPr>
        <w:footnoteRef/>
      </w:r>
      <w:r w:rsidRPr="00720C0F">
        <w:rPr>
          <w:lang w:val="sr-Latn-RS"/>
        </w:rPr>
        <w:t xml:space="preserve"> </w:t>
      </w:r>
      <w:r w:rsidRPr="00A84443">
        <w:rPr>
          <w:sz w:val="16"/>
          <w:lang w:val="sr-Latn-RS"/>
        </w:rPr>
        <w:t>Moder</w:t>
      </w:r>
      <w:r w:rsidR="00C13008">
        <w:rPr>
          <w:sz w:val="16"/>
          <w:lang w:val="sr-Latn-RS"/>
        </w:rPr>
        <w:t>nizirana</w:t>
      </w:r>
      <w:r w:rsidRPr="00A84443">
        <w:rPr>
          <w:sz w:val="16"/>
          <w:lang w:val="sr-Latn-RS"/>
        </w:rPr>
        <w:t xml:space="preserve"> Konvencija o zaštiti pojedinaca </w:t>
      </w:r>
      <w:r w:rsidRPr="00D7203A">
        <w:rPr>
          <w:sz w:val="16"/>
          <w:lang w:val="sr-Latn-RS"/>
        </w:rPr>
        <w:t xml:space="preserve">u vezi sa obradom </w:t>
      </w:r>
      <w:r w:rsidR="00C77302" w:rsidRPr="00D7203A">
        <w:rPr>
          <w:sz w:val="16"/>
          <w:lang w:val="sr-Latn-RS"/>
        </w:rPr>
        <w:t xml:space="preserve">ličnih podataka </w:t>
      </w:r>
      <w:r w:rsidRPr="00D7203A">
        <w:rPr>
          <w:sz w:val="16"/>
          <w:lang w:val="sr-Latn-RS"/>
        </w:rPr>
        <w:t>(CETS</w:t>
      </w:r>
      <w:r w:rsidRPr="00A84443">
        <w:rPr>
          <w:sz w:val="16"/>
          <w:lang w:val="sr-Latn-RS"/>
        </w:rPr>
        <w:t xml:space="preserve"> 223): </w:t>
      </w:r>
      <w:hyperlink r:id="rId13">
        <w:r w:rsidRPr="00A84443">
          <w:rPr>
            <w:color w:val="315397"/>
            <w:sz w:val="16"/>
            <w:lang w:val="sr-Latn-RS"/>
          </w:rPr>
          <w:t>https://search.coe.int/cm/Pages/result_details.aspx?ObjectId=09000016807c65bf</w:t>
        </w:r>
      </w:hyperlink>
    </w:p>
  </w:footnote>
  <w:footnote w:id="29">
    <w:p w14:paraId="6737B898" w14:textId="66775BC6" w:rsidR="00720C0F" w:rsidRPr="00720C0F" w:rsidRDefault="00720C0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 w:rsidRPr="00A84443">
        <w:rPr>
          <w:sz w:val="16"/>
          <w:lang w:val="sr-Latn-RS"/>
        </w:rPr>
        <w:t>Ad</w:t>
      </w:r>
      <w:r w:rsidR="00C77302">
        <w:rPr>
          <w:sz w:val="16"/>
          <w:lang w:val="sr-Latn-RS"/>
        </w:rPr>
        <w:t>-</w:t>
      </w:r>
      <w:r w:rsidRPr="00A84443">
        <w:rPr>
          <w:sz w:val="16"/>
          <w:lang w:val="sr-Latn-RS"/>
        </w:rPr>
        <w:t xml:space="preserve">hoc </w:t>
      </w:r>
      <w:r w:rsidR="00C77302">
        <w:rPr>
          <w:sz w:val="16"/>
          <w:lang w:val="sr-Latn-RS"/>
        </w:rPr>
        <w:t>Komitet za v</w:t>
      </w:r>
      <w:r w:rsidR="00C13008">
        <w:rPr>
          <w:sz w:val="16"/>
          <w:lang w:val="sr-Latn-RS"/>
        </w:rPr>
        <w:t>j</w:t>
      </w:r>
      <w:r w:rsidR="00C77302">
        <w:rPr>
          <w:sz w:val="16"/>
          <w:lang w:val="sr-Latn-RS"/>
        </w:rPr>
        <w:t>eštačku inteligenicju</w:t>
      </w:r>
      <w:r w:rsidRPr="00A84443">
        <w:rPr>
          <w:sz w:val="16"/>
          <w:lang w:val="sr-Latn-RS"/>
        </w:rPr>
        <w:t>, CAHA</w:t>
      </w:r>
      <w:r w:rsidR="00163329">
        <w:rPr>
          <w:sz w:val="16"/>
          <w:lang w:val="sr-Latn-RS"/>
        </w:rPr>
        <w:t>I</w:t>
      </w:r>
      <w:r w:rsidRPr="00A84443">
        <w:rPr>
          <w:sz w:val="16"/>
          <w:lang w:val="sr-Latn-RS"/>
        </w:rPr>
        <w:t xml:space="preserve"> </w:t>
      </w:r>
    </w:p>
  </w:footnote>
  <w:footnote w:id="30">
    <w:p w14:paraId="5FB1960E" w14:textId="77777777" w:rsidR="00163329" w:rsidRPr="00163329" w:rsidRDefault="0016332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63329">
        <w:rPr>
          <w:lang w:val="sr-Latn-RS"/>
        </w:rPr>
        <w:t xml:space="preserve"> </w:t>
      </w:r>
      <w:r w:rsidRPr="00A84443">
        <w:rPr>
          <w:sz w:val="16"/>
          <w:lang w:val="sr-Latn-RS"/>
        </w:rPr>
        <w:t>E</w:t>
      </w:r>
      <w:r>
        <w:rPr>
          <w:sz w:val="16"/>
          <w:lang w:val="sr-Latn-RS"/>
        </w:rPr>
        <w:t>SLJP</w:t>
      </w:r>
      <w:r w:rsidRPr="00A84443">
        <w:rPr>
          <w:sz w:val="16"/>
          <w:lang w:val="sr-Latn-RS"/>
        </w:rPr>
        <w:t xml:space="preserve">, </w:t>
      </w:r>
      <w:r w:rsidRPr="00A84443">
        <w:rPr>
          <w:i/>
          <w:sz w:val="16"/>
          <w:lang w:val="sr-Latn-RS"/>
        </w:rPr>
        <w:t xml:space="preserve">A. i ostali protiv Ujedinjenog Kraljevstva </w:t>
      </w:r>
      <w:r w:rsidRPr="00A84443">
        <w:rPr>
          <w:sz w:val="16"/>
          <w:lang w:val="sr-Latn-RS"/>
        </w:rPr>
        <w:t>(GC), 3455/05, 19. februar 2009, §§ 182-190.</w:t>
      </w:r>
    </w:p>
  </w:footnote>
  <w:footnote w:id="31">
    <w:p w14:paraId="3AD67413" w14:textId="77777777" w:rsidR="00163329" w:rsidRPr="00163329" w:rsidRDefault="00163329" w:rsidP="00163329">
      <w:pPr>
        <w:spacing w:line="185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>
        <w:rPr>
          <w:sz w:val="16"/>
          <w:lang w:val="sr-Latn-RS"/>
        </w:rPr>
        <w:t>ESLJP</w:t>
      </w:r>
      <w:r w:rsidRPr="00A84443">
        <w:rPr>
          <w:sz w:val="16"/>
          <w:lang w:val="sr-Latn-RS"/>
        </w:rPr>
        <w:t xml:space="preserve">, </w:t>
      </w:r>
      <w:r w:rsidRPr="00A84443">
        <w:rPr>
          <w:i/>
          <w:sz w:val="16"/>
          <w:lang w:val="sr-Latn-RS"/>
        </w:rPr>
        <w:t xml:space="preserve">Kipar protiv Turske </w:t>
      </w:r>
      <w:r w:rsidRPr="00A84443">
        <w:rPr>
          <w:sz w:val="16"/>
          <w:lang w:val="sr-Latn-RS"/>
        </w:rPr>
        <w:t>(GC), 25781/94, 10. maj 2001, §§ 312-315.</w:t>
      </w:r>
    </w:p>
  </w:footnote>
  <w:footnote w:id="32">
    <w:p w14:paraId="3971C4ED" w14:textId="7D51BF8F" w:rsidR="00C261F2" w:rsidRPr="00163329" w:rsidRDefault="00C261F2" w:rsidP="00C261F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620A9D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eti, na prim</w:t>
      </w:r>
      <w:r w:rsidR="00620A9D">
        <w:rPr>
          <w:sz w:val="16"/>
          <w:lang w:val="sr-Latn-RS"/>
        </w:rPr>
        <w:t>ij</w:t>
      </w:r>
      <w:r w:rsidRPr="00A84443">
        <w:rPr>
          <w:sz w:val="16"/>
          <w:lang w:val="sr-Latn-RS"/>
        </w:rPr>
        <w:t>er, E</w:t>
      </w:r>
      <w:r>
        <w:rPr>
          <w:sz w:val="16"/>
          <w:lang w:val="sr-Latn-RS"/>
        </w:rPr>
        <w:t>SLJP</w:t>
      </w:r>
      <w:r w:rsidRPr="00A84443">
        <w:rPr>
          <w:sz w:val="16"/>
          <w:lang w:val="sr-Latn-RS"/>
        </w:rPr>
        <w:t xml:space="preserve">, </w:t>
      </w:r>
      <w:r w:rsidRPr="00A84443">
        <w:rPr>
          <w:i/>
          <w:sz w:val="16"/>
          <w:lang w:val="sr-Latn-RS"/>
        </w:rPr>
        <w:t>Horvath i Kiss protiv Mađarske</w:t>
      </w:r>
      <w:r w:rsidRPr="00A84443">
        <w:rPr>
          <w:sz w:val="16"/>
          <w:lang w:val="sr-Latn-RS"/>
        </w:rPr>
        <w:t>, 11146/11, 29. januar 2013,.</w:t>
      </w:r>
    </w:p>
  </w:footnote>
  <w:footnote w:id="33">
    <w:p w14:paraId="52F28F5D" w14:textId="0836978B" w:rsidR="00163329" w:rsidRPr="00163329" w:rsidRDefault="0016332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EF6D9D">
        <w:rPr>
          <w:lang w:val="sr-Latn-RS"/>
        </w:rPr>
        <w:t xml:space="preserve"> </w:t>
      </w:r>
      <w:r w:rsidR="00EF6D9D" w:rsidRPr="00A84443">
        <w:rPr>
          <w:sz w:val="16"/>
          <w:lang w:val="sr-Latn-RS"/>
        </w:rPr>
        <w:t>E</w:t>
      </w:r>
      <w:r w:rsidR="00EF6D9D">
        <w:rPr>
          <w:sz w:val="16"/>
          <w:lang w:val="sr-Latn-RS"/>
        </w:rPr>
        <w:t>SLJP</w:t>
      </w:r>
      <w:r w:rsidR="00EF6D9D" w:rsidRPr="00A84443">
        <w:rPr>
          <w:sz w:val="16"/>
          <w:lang w:val="sr-Latn-RS"/>
        </w:rPr>
        <w:t xml:space="preserve">, </w:t>
      </w:r>
      <w:r w:rsidR="00EF6D9D" w:rsidRPr="00A84443">
        <w:rPr>
          <w:i/>
          <w:sz w:val="16"/>
          <w:lang w:val="sr-Latn-RS"/>
        </w:rPr>
        <w:t>Horvath i Kiss protiv Mađarske</w:t>
      </w:r>
      <w:r w:rsidR="00EF6D9D" w:rsidRPr="00A84443">
        <w:rPr>
          <w:sz w:val="16"/>
          <w:lang w:val="sr-Latn-RS"/>
        </w:rPr>
        <w:t>, 11146/11, 29. januar 2013, § 116; E</w:t>
      </w:r>
      <w:r w:rsidR="00620A9D">
        <w:rPr>
          <w:sz w:val="16"/>
          <w:lang w:val="sr-Latn-RS"/>
        </w:rPr>
        <w:t>SLJP</w:t>
      </w:r>
      <w:r w:rsidR="00EF6D9D" w:rsidRPr="00A84443">
        <w:rPr>
          <w:sz w:val="16"/>
          <w:lang w:val="sr-Latn-RS"/>
        </w:rPr>
        <w:t xml:space="preserve"> Çam protiv Turske, 51500/08, 23. februar 2016. Vid</w:t>
      </w:r>
      <w:r w:rsidR="00620A9D">
        <w:rPr>
          <w:sz w:val="16"/>
          <w:lang w:val="sr-Latn-RS"/>
        </w:rPr>
        <w:t>j</w:t>
      </w:r>
      <w:r w:rsidR="00EF6D9D" w:rsidRPr="00A84443">
        <w:rPr>
          <w:sz w:val="16"/>
          <w:lang w:val="sr-Latn-RS"/>
        </w:rPr>
        <w:t>eti takođe eksplanatorni izv</w:t>
      </w:r>
      <w:r w:rsidR="00620A9D">
        <w:rPr>
          <w:sz w:val="16"/>
          <w:lang w:val="sr-Latn-RS"/>
        </w:rPr>
        <w:t>j</w:t>
      </w:r>
      <w:r w:rsidR="00EF6D9D" w:rsidRPr="00A84443">
        <w:rPr>
          <w:sz w:val="16"/>
          <w:lang w:val="sr-Latn-RS"/>
        </w:rPr>
        <w:t>eštaj uz Protokol 12 Konvencije.</w:t>
      </w:r>
    </w:p>
  </w:footnote>
  <w:footnote w:id="34">
    <w:p w14:paraId="3E72C0BF" w14:textId="4CB0C95E" w:rsidR="00163329" w:rsidRPr="00EF6D9D" w:rsidRDefault="00163329" w:rsidP="00EF6D9D">
      <w:pPr>
        <w:ind w:right="413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Pr="00EF6D9D">
        <w:rPr>
          <w:lang w:val="sr-Latn-RS"/>
        </w:rPr>
        <w:t xml:space="preserve"> </w:t>
      </w:r>
      <w:r w:rsidR="00EF6D9D" w:rsidRPr="00A84443">
        <w:rPr>
          <w:sz w:val="16"/>
          <w:lang w:val="sr-Latn-RS"/>
        </w:rPr>
        <w:t>U slučaju Evropskog komiteta za socijalna prava (ECSR), diskriminacija može da proistekne zbog propusta da se na odgovarajući i pozitivan način uzmu u obzir sve relevantne razlike među licima u uporedivoj situaciji, ili propusta da se preduzmu odgovarajući koraci da bi se osiguralo da prava i kolektivne prednosti koji su na raspolaganju svima zaista i budu dostupni svima. Vid</w:t>
      </w:r>
      <w:r w:rsidR="00620A9D">
        <w:rPr>
          <w:sz w:val="16"/>
          <w:lang w:val="sr-Latn-RS"/>
        </w:rPr>
        <w:t>j</w:t>
      </w:r>
      <w:r w:rsidR="00EF6D9D" w:rsidRPr="00A84443">
        <w:rPr>
          <w:sz w:val="16"/>
          <w:lang w:val="sr-Latn-RS"/>
        </w:rPr>
        <w:t>eti, na prim</w:t>
      </w:r>
      <w:r w:rsidR="00620A9D">
        <w:rPr>
          <w:sz w:val="16"/>
          <w:lang w:val="sr-Latn-RS"/>
        </w:rPr>
        <w:t>ij</w:t>
      </w:r>
      <w:r w:rsidR="00EF6D9D" w:rsidRPr="00A84443">
        <w:rPr>
          <w:sz w:val="16"/>
          <w:lang w:val="sr-Latn-RS"/>
        </w:rPr>
        <w:t xml:space="preserve">er, ECSR, </w:t>
      </w:r>
      <w:r w:rsidR="00EF6D9D" w:rsidRPr="00A84443">
        <w:rPr>
          <w:i/>
          <w:sz w:val="16"/>
          <w:lang w:val="sr-Latn-RS"/>
        </w:rPr>
        <w:t>Confederazione Generale Italiana del Lavoro (CGIL</w:t>
      </w:r>
      <w:r w:rsidR="00EF6D9D" w:rsidRPr="00A84443">
        <w:rPr>
          <w:sz w:val="16"/>
          <w:lang w:val="sr-Latn-RS"/>
        </w:rPr>
        <w:t>) protiv Italije,</w:t>
      </w:r>
      <w:r w:rsidR="00EF6D9D" w:rsidRPr="00A84443">
        <w:rPr>
          <w:spacing w:val="-10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Predstavka br</w:t>
      </w:r>
      <w:r w:rsidR="00EF6D9D" w:rsidRPr="00A84443">
        <w:rPr>
          <w:spacing w:val="-10"/>
          <w:sz w:val="16"/>
          <w:lang w:val="sr-Latn-RS"/>
        </w:rPr>
        <w:t xml:space="preserve">. </w:t>
      </w:r>
      <w:r w:rsidR="00EF6D9D" w:rsidRPr="00A84443">
        <w:rPr>
          <w:sz w:val="16"/>
          <w:lang w:val="sr-Latn-RS"/>
        </w:rPr>
        <w:t>91/2013,</w:t>
      </w:r>
      <w:r w:rsidR="00EF6D9D" w:rsidRPr="00A84443">
        <w:rPr>
          <w:spacing w:val="-10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12. oktobar 2015,</w:t>
      </w:r>
      <w:r w:rsidR="00EF6D9D" w:rsidRPr="00A84443">
        <w:rPr>
          <w:spacing w:val="-12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§</w:t>
      </w:r>
      <w:r w:rsidR="00EF6D9D" w:rsidRPr="00A84443">
        <w:rPr>
          <w:spacing w:val="-12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237;</w:t>
      </w:r>
      <w:r w:rsidR="00EF6D9D" w:rsidRPr="00A84443">
        <w:rPr>
          <w:spacing w:val="-13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ECSR,</w:t>
      </w:r>
      <w:r w:rsidR="00EF6D9D" w:rsidRPr="00A84443">
        <w:rPr>
          <w:spacing w:val="-8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Confédération</w:t>
      </w:r>
      <w:r w:rsidR="00EF6D9D" w:rsidRPr="00A84443">
        <w:rPr>
          <w:i/>
          <w:spacing w:val="-14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française</w:t>
      </w:r>
      <w:r w:rsidR="00EF6D9D" w:rsidRPr="00A84443">
        <w:rPr>
          <w:i/>
          <w:spacing w:val="-12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démocratique</w:t>
      </w:r>
      <w:r w:rsidR="00EF6D9D" w:rsidRPr="00A84443">
        <w:rPr>
          <w:i/>
          <w:spacing w:val="-12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du</w:t>
      </w:r>
      <w:r w:rsidR="00EF6D9D" w:rsidRPr="00A84443">
        <w:rPr>
          <w:i/>
          <w:spacing w:val="-12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travail</w:t>
      </w:r>
      <w:r w:rsidR="00EF6D9D" w:rsidRPr="00A84443">
        <w:rPr>
          <w:i/>
          <w:spacing w:val="-10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(CFDT)</w:t>
      </w:r>
      <w:r w:rsidR="00EF6D9D" w:rsidRPr="00A84443">
        <w:rPr>
          <w:i/>
          <w:spacing w:val="-14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protiv</w:t>
      </w:r>
      <w:r w:rsidR="00EF6D9D" w:rsidRPr="00A84443">
        <w:rPr>
          <w:i/>
          <w:spacing w:val="-10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Francuske, Predstavka br</w:t>
      </w:r>
      <w:r w:rsidR="00EF6D9D" w:rsidRPr="00A84443">
        <w:rPr>
          <w:sz w:val="16"/>
          <w:lang w:val="sr-Latn-RS"/>
        </w:rPr>
        <w:t>. 50/2008, odluka o meritumu  od 9. septembra 2009, §§ 39 i</w:t>
      </w:r>
      <w:r w:rsidR="00EF6D9D" w:rsidRPr="00A84443">
        <w:rPr>
          <w:spacing w:val="-3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41.</w:t>
      </w:r>
    </w:p>
  </w:footnote>
  <w:footnote w:id="35">
    <w:p w14:paraId="535930AF" w14:textId="352A0792" w:rsidR="00163329" w:rsidRPr="00163329" w:rsidRDefault="0016332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="00EF6D9D" w:rsidRPr="00EF6D9D">
        <w:rPr>
          <w:lang w:val="sr-Latn-RS"/>
        </w:rPr>
        <w:t xml:space="preserve"> </w:t>
      </w:r>
      <w:r w:rsidR="00EF6D9D" w:rsidRPr="00A84443">
        <w:rPr>
          <w:sz w:val="16"/>
          <w:lang w:val="sr-Latn-RS"/>
        </w:rPr>
        <w:t>U toku je izrada Studije od strane Sekretarijata novog Upravnog odbora za zabranu diskriminacije, raznolikost i društvenu uključenost (CDADI), koja će biti predmet razmatranja na prvom sastanku CDADI. Uskoro će na njihovim internet stranicama biti objavljene uvodne napomene</w:t>
      </w:r>
      <w:r w:rsidR="00620A9D">
        <w:rPr>
          <w:sz w:val="16"/>
          <w:lang w:val="sr-Latn-RS"/>
        </w:rPr>
        <w:t>.</w:t>
      </w:r>
    </w:p>
  </w:footnote>
  <w:footnote w:id="36">
    <w:p w14:paraId="1FAD867D" w14:textId="128C4FE8" w:rsidR="00163329" w:rsidRPr="00163329" w:rsidRDefault="0016332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EF6D9D">
        <w:rPr>
          <w:lang w:val="sr-Latn-RS"/>
        </w:rPr>
        <w:t xml:space="preserve"> </w:t>
      </w:r>
      <w:r w:rsidR="00EF6D9D" w:rsidRPr="00A84443">
        <w:rPr>
          <w:sz w:val="16"/>
          <w:lang w:val="sr-Latn-RS"/>
        </w:rPr>
        <w:t xml:space="preserve">Konvencija </w:t>
      </w:r>
      <w:r w:rsidR="00620A9D">
        <w:rPr>
          <w:sz w:val="16"/>
          <w:lang w:val="sr-Latn-RS"/>
        </w:rPr>
        <w:t>Vijeća</w:t>
      </w:r>
      <w:r w:rsidR="00EF6D9D" w:rsidRPr="00A84443">
        <w:rPr>
          <w:sz w:val="16"/>
          <w:lang w:val="sr-Latn-RS"/>
        </w:rPr>
        <w:t xml:space="preserve"> Evrope o sprečavanju i borbi protiv nasilja nad ženama i nasilja u porodici, CETS No. 2010, Istanbul, 11. maj 2011: </w:t>
      </w:r>
      <w:hyperlink r:id="rId14" w:history="1">
        <w:r w:rsidR="002068B6" w:rsidRPr="006E5655">
          <w:rPr>
            <w:rStyle w:val="Hyperlink"/>
            <w:sz w:val="16"/>
            <w:lang w:val="sr-Latn-RS"/>
          </w:rPr>
          <w:t>https://rm.coe.int/CoERMPublicCommonSearchServices/DisplayDCTMContent?documentId=0900001680462540</w:t>
        </w:r>
      </w:hyperlink>
      <w:r w:rsidR="002068B6">
        <w:rPr>
          <w:sz w:val="16"/>
          <w:lang w:val="sr-Latn-RS"/>
        </w:rPr>
        <w:t xml:space="preserve">. </w:t>
      </w:r>
    </w:p>
  </w:footnote>
  <w:footnote w:id="37">
    <w:p w14:paraId="5F0D25E0" w14:textId="1832B06E" w:rsidR="00EF6D9D" w:rsidRPr="00314544" w:rsidRDefault="00EF6D9D" w:rsidP="00314544">
      <w:pPr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sz w:val="16"/>
          <w:lang w:val="sr-Latn-RS"/>
        </w:rPr>
        <w:t>Vid</w:t>
      </w:r>
      <w:r w:rsidR="00842165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 izjavu Generaln</w:t>
      </w:r>
      <w:r>
        <w:rPr>
          <w:sz w:val="16"/>
          <w:lang w:val="sr-Latn-RS"/>
        </w:rPr>
        <w:t>e</w:t>
      </w:r>
      <w:r w:rsidRPr="00A84443">
        <w:rPr>
          <w:sz w:val="16"/>
          <w:lang w:val="sr-Latn-RS"/>
        </w:rPr>
        <w:t xml:space="preserve"> sekretar</w:t>
      </w:r>
      <w:r>
        <w:rPr>
          <w:sz w:val="16"/>
          <w:lang w:val="sr-Latn-RS"/>
        </w:rPr>
        <w:t>ke</w:t>
      </w:r>
      <w:r w:rsidRPr="00A84443">
        <w:rPr>
          <w:sz w:val="16"/>
          <w:lang w:val="sr-Latn-RS"/>
        </w:rPr>
        <w:t xml:space="preserve"> </w:t>
      </w:r>
      <w:r w:rsidR="00842165">
        <w:rPr>
          <w:sz w:val="16"/>
          <w:lang w:val="sr-Latn-RS"/>
        </w:rPr>
        <w:t>Vijeća</w:t>
      </w:r>
      <w:r w:rsidRPr="00A84443">
        <w:rPr>
          <w:sz w:val="16"/>
          <w:lang w:val="sr-Latn-RS"/>
        </w:rPr>
        <w:t xml:space="preserve"> Evrope od 30. marta 2020</w:t>
      </w:r>
      <w:r>
        <w:rPr>
          <w:sz w:val="16"/>
          <w:lang w:val="sr-Latn-RS"/>
        </w:rPr>
        <w:t>.</w:t>
      </w:r>
      <w:r w:rsidRPr="00A84443">
        <w:rPr>
          <w:sz w:val="16"/>
          <w:lang w:val="sr-Latn-RS"/>
        </w:rPr>
        <w:t xml:space="preserve"> </w:t>
      </w:r>
      <w:hyperlink r:id="rId15">
        <w:r w:rsidRPr="00A84443">
          <w:rPr>
            <w:sz w:val="16"/>
            <w:lang w:val="sr-Latn-RS"/>
          </w:rPr>
          <w:t>(</w:t>
        </w:r>
        <w:r w:rsidRPr="00A84443">
          <w:rPr>
            <w:color w:val="315397"/>
            <w:sz w:val="16"/>
            <w:lang w:val="sr-Latn-RS"/>
          </w:rPr>
          <w:t>https://www.coe.int/en/web/portal/-/covid-19-</w:t>
        </w:r>
      </w:hyperlink>
      <w:r w:rsidRPr="00A84443">
        <w:rPr>
          <w:color w:val="315397"/>
          <w:sz w:val="16"/>
          <w:lang w:val="sr-Latn-RS"/>
        </w:rPr>
        <w:t xml:space="preserve"> </w:t>
      </w:r>
      <w:hyperlink r:id="rId16">
        <w:r w:rsidRPr="00A84443">
          <w:rPr>
            <w:color w:val="315397"/>
            <w:sz w:val="16"/>
            <w:lang w:val="sr-Latn-RS"/>
          </w:rPr>
          <w:t>crisis-secretary-general-concerned-about-increased-risk-of-domestic-violence</w:t>
        </w:r>
        <w:r w:rsidRPr="00A84443">
          <w:rPr>
            <w:sz w:val="16"/>
            <w:lang w:val="sr-Latn-RS"/>
          </w:rPr>
          <w:t>)</w:t>
        </w:r>
        <w:r w:rsidRPr="00A84443">
          <w:rPr>
            <w:spacing w:val="-14"/>
            <w:sz w:val="16"/>
            <w:lang w:val="sr-Latn-RS"/>
          </w:rPr>
          <w:t xml:space="preserve"> </w:t>
        </w:r>
      </w:hyperlink>
      <w:r w:rsidRPr="00A84443">
        <w:rPr>
          <w:sz w:val="16"/>
          <w:lang w:val="sr-Latn-RS"/>
        </w:rPr>
        <w:t xml:space="preserve">i izjavu </w:t>
      </w:r>
      <w:r w:rsidR="00842165">
        <w:rPr>
          <w:sz w:val="16"/>
          <w:lang w:val="sr-Latn-RS"/>
        </w:rPr>
        <w:t>p</w:t>
      </w:r>
      <w:r w:rsidRPr="00A84443">
        <w:rPr>
          <w:sz w:val="16"/>
          <w:lang w:val="sr-Latn-RS"/>
        </w:rPr>
        <w:t>reds</w:t>
      </w:r>
      <w:r w:rsidR="00842165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ed</w:t>
      </w:r>
      <w:r w:rsidR="002068B6">
        <w:rPr>
          <w:sz w:val="16"/>
          <w:lang w:val="sr-Latn-RS"/>
        </w:rPr>
        <w:t xml:space="preserve">nice </w:t>
      </w:r>
      <w:r w:rsidRPr="00A84443">
        <w:rPr>
          <w:sz w:val="16"/>
          <w:lang w:val="sr-Latn-RS"/>
        </w:rPr>
        <w:t>GREVIO</w:t>
      </w:r>
      <w:r w:rsidR="00842165">
        <w:rPr>
          <w:sz w:val="16"/>
          <w:lang w:val="sr-Latn-RS"/>
        </w:rPr>
        <w:t>-a</w:t>
      </w:r>
      <w:r w:rsidRPr="00A84443">
        <w:rPr>
          <w:spacing w:val="-15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od 24. marta 2020</w:t>
      </w:r>
      <w:r w:rsidR="00314544">
        <w:rPr>
          <w:sz w:val="16"/>
          <w:lang w:val="sr-Latn-RS"/>
        </w:rPr>
        <w:t>.</w:t>
      </w:r>
      <w:r w:rsidRPr="00A84443">
        <w:rPr>
          <w:sz w:val="16"/>
          <w:lang w:val="sr-Latn-RS"/>
        </w:rPr>
        <w:t>:</w:t>
      </w:r>
      <w:r w:rsidRPr="00A84443">
        <w:rPr>
          <w:spacing w:val="1"/>
          <w:sz w:val="16"/>
          <w:lang w:val="sr-Latn-RS"/>
        </w:rPr>
        <w:t xml:space="preserve"> </w:t>
      </w:r>
      <w:hyperlink r:id="rId17">
        <w:r w:rsidRPr="00A84443">
          <w:rPr>
            <w:color w:val="315397"/>
            <w:sz w:val="16"/>
            <w:lang w:val="sr-Latn-RS"/>
          </w:rPr>
          <w:t>https://rm.coe.int/grevio-statement-covid-24-march-2020/pdfa/16809cf55e</w:t>
        </w:r>
      </w:hyperlink>
    </w:p>
  </w:footnote>
  <w:footnote w:id="38">
    <w:p w14:paraId="1672F29F" w14:textId="05FDADE6" w:rsidR="00EF6D9D" w:rsidRPr="00EF6D9D" w:rsidRDefault="00EF6D9D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="00314544" w:rsidRPr="00A84443">
        <w:rPr>
          <w:sz w:val="16"/>
          <w:lang w:val="sr-Latn-RS"/>
        </w:rPr>
        <w:t xml:space="preserve">Izjava </w:t>
      </w:r>
      <w:r w:rsidR="00FF25F7">
        <w:rPr>
          <w:sz w:val="16"/>
          <w:lang w:val="sr-Latn-RS"/>
        </w:rPr>
        <w:t>p</w:t>
      </w:r>
      <w:r w:rsidR="00314544" w:rsidRPr="00A84443">
        <w:rPr>
          <w:sz w:val="16"/>
          <w:lang w:val="sr-Latn-RS"/>
        </w:rPr>
        <w:t>reds</w:t>
      </w:r>
      <w:r w:rsidR="00842165">
        <w:rPr>
          <w:sz w:val="16"/>
          <w:lang w:val="sr-Latn-RS"/>
        </w:rPr>
        <w:t>j</w:t>
      </w:r>
      <w:r w:rsidR="00314544" w:rsidRPr="00A84443">
        <w:rPr>
          <w:sz w:val="16"/>
          <w:lang w:val="sr-Latn-RS"/>
        </w:rPr>
        <w:t>ednika i podpreds</w:t>
      </w:r>
      <w:r w:rsidR="00842165">
        <w:rPr>
          <w:sz w:val="16"/>
          <w:lang w:val="sr-Latn-RS"/>
        </w:rPr>
        <w:t>j</w:t>
      </w:r>
      <w:r w:rsidR="00314544" w:rsidRPr="00A84443">
        <w:rPr>
          <w:sz w:val="16"/>
          <w:lang w:val="sr-Latn-RS"/>
        </w:rPr>
        <w:t>edni</w:t>
      </w:r>
      <w:r w:rsidR="00FF25F7">
        <w:rPr>
          <w:sz w:val="16"/>
          <w:lang w:val="sr-Latn-RS"/>
        </w:rPr>
        <w:t>ce</w:t>
      </w:r>
      <w:r w:rsidR="00314544" w:rsidRPr="00A84443">
        <w:rPr>
          <w:sz w:val="16"/>
          <w:lang w:val="sr-Latn-RS"/>
        </w:rPr>
        <w:t xml:space="preserve"> Komiteta Lanzarote: </w:t>
      </w:r>
      <w:hyperlink r:id="rId18">
        <w:r w:rsidR="00314544" w:rsidRPr="00A84443">
          <w:rPr>
            <w:color w:val="315397"/>
            <w:sz w:val="16"/>
            <w:lang w:val="sr-Latn-RS"/>
          </w:rPr>
          <w:t>https://rm.coe.int/covid-19-lc-statement-en-final/16809e17ae</w:t>
        </w:r>
      </w:hyperlink>
    </w:p>
  </w:footnote>
  <w:footnote w:id="39">
    <w:p w14:paraId="52D274FC" w14:textId="700512B7" w:rsidR="00EF6D9D" w:rsidRPr="00EF6D9D" w:rsidRDefault="00EF6D9D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314544">
        <w:rPr>
          <w:lang w:val="fr-FR"/>
        </w:rPr>
        <w:t xml:space="preserve"> </w:t>
      </w:r>
      <w:r w:rsidR="00314544" w:rsidRPr="00A84443">
        <w:rPr>
          <w:sz w:val="16"/>
          <w:lang w:val="sr-Latn-RS"/>
        </w:rPr>
        <w:t>Vid</w:t>
      </w:r>
      <w:r w:rsidR="00842165">
        <w:rPr>
          <w:sz w:val="16"/>
          <w:lang w:val="sr-Latn-RS"/>
        </w:rPr>
        <w:t>j</w:t>
      </w:r>
      <w:r w:rsidR="00314544" w:rsidRPr="00A84443">
        <w:rPr>
          <w:sz w:val="16"/>
          <w:lang w:val="sr-Latn-RS"/>
        </w:rPr>
        <w:t>eti izjavu koju je dala grupa GRETA 3. aprila 2020</w:t>
      </w:r>
    </w:p>
  </w:footnote>
  <w:footnote w:id="40">
    <w:p w14:paraId="6EDEBC5D" w14:textId="159FB1E1" w:rsidR="00314544" w:rsidRPr="00A84443" w:rsidRDefault="00314544" w:rsidP="00314544">
      <w:pPr>
        <w:spacing w:before="71"/>
        <w:ind w:right="420"/>
        <w:rPr>
          <w:sz w:val="16"/>
          <w:lang w:val="sr-Latn-RS"/>
        </w:rPr>
      </w:pPr>
      <w:r>
        <w:rPr>
          <w:rStyle w:val="FootnoteReference"/>
        </w:rPr>
        <w:footnoteRef/>
      </w:r>
      <w:r w:rsidRPr="00314544">
        <w:rPr>
          <w:lang w:val="sr-Latn-RS"/>
        </w:rPr>
        <w:t xml:space="preserve"> </w:t>
      </w:r>
      <w:r w:rsidRPr="00A84443">
        <w:rPr>
          <w:sz w:val="16"/>
          <w:lang w:val="sr-Latn-RS"/>
        </w:rPr>
        <w:t>Komitet strana ugovornica Konvencije MEDICRIME će ob</w:t>
      </w:r>
      <w:r w:rsidR="00FF25F7">
        <w:rPr>
          <w:sz w:val="16"/>
          <w:lang w:val="sr-Latn-RS"/>
        </w:rPr>
        <w:t>javiti</w:t>
      </w:r>
      <w:r w:rsidRPr="00A84443">
        <w:rPr>
          <w:sz w:val="16"/>
          <w:lang w:val="sr-Latn-RS"/>
        </w:rPr>
        <w:t xml:space="preserve"> </w:t>
      </w:r>
      <w:r w:rsidR="00FF25F7">
        <w:rPr>
          <w:sz w:val="16"/>
          <w:lang w:val="sr-Latn-RS"/>
        </w:rPr>
        <w:t>S</w:t>
      </w:r>
      <w:r w:rsidRPr="00A84443">
        <w:rPr>
          <w:sz w:val="16"/>
          <w:lang w:val="sr-Latn-RS"/>
        </w:rPr>
        <w:t>av</w:t>
      </w:r>
      <w:r w:rsidR="00842165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 o prim</w:t>
      </w:r>
      <w:r w:rsidR="00842165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eni Konvencije u kontekstu pandemije COVID-19 </w:t>
      </w:r>
      <w:hyperlink r:id="rId19">
        <w:r w:rsidRPr="00A84443">
          <w:rPr>
            <w:sz w:val="16"/>
            <w:lang w:val="sr-Latn-RS"/>
          </w:rPr>
          <w:t>(</w:t>
        </w:r>
        <w:r w:rsidRPr="00A84443">
          <w:rPr>
            <w:color w:val="315397"/>
            <w:sz w:val="16"/>
            <w:lang w:val="sr-Latn-RS"/>
          </w:rPr>
          <w:t>https://www.coe.int/en/web/medicrime/home</w:t>
        </w:r>
      </w:hyperlink>
      <w:r w:rsidRPr="00A84443">
        <w:rPr>
          <w:sz w:val="16"/>
          <w:lang w:val="sr-Latn-RS"/>
        </w:rPr>
        <w:t>).</w:t>
      </w:r>
    </w:p>
    <w:p w14:paraId="71ED2D4C" w14:textId="77777777" w:rsidR="00314544" w:rsidRPr="00A84443" w:rsidRDefault="00314544" w:rsidP="00314544">
      <w:pPr>
        <w:spacing w:before="71"/>
        <w:ind w:left="117" w:right="420"/>
        <w:rPr>
          <w:sz w:val="16"/>
          <w:lang w:val="sr-Latn-RS"/>
        </w:rPr>
      </w:pPr>
    </w:p>
    <w:p w14:paraId="32EFC402" w14:textId="77777777" w:rsidR="00314544" w:rsidRPr="00314544" w:rsidRDefault="00314544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5F44F" w14:textId="77777777" w:rsidR="00103890" w:rsidRDefault="00103890">
    <w:pPr>
      <w:pStyle w:val="BodyText"/>
      <w:spacing w:line="14" w:lineRule="auto"/>
      <w:rPr>
        <w:sz w:val="20"/>
      </w:rPr>
    </w:pP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9438D" wp14:editId="7E711C09">
              <wp:simplePos x="0" y="0"/>
              <wp:positionH relativeFrom="page">
                <wp:posOffset>671830</wp:posOffset>
              </wp:positionH>
              <wp:positionV relativeFrom="page">
                <wp:posOffset>447675</wp:posOffset>
              </wp:positionV>
              <wp:extent cx="808990" cy="15367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FF190" w14:textId="77777777" w:rsidR="00103890" w:rsidRDefault="0010389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SG/Inf(2020)11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0943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.9pt;margin-top:35.25pt;width:63.7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HNrg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" filled="f" stroked="f">
              <v:textbox inset="0,0,0,0">
                <w:txbxContent>
                  <w:p w14:paraId="1C0FF190" w14:textId="77777777" w:rsidR="00103890" w:rsidRDefault="0010389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SG/</w:t>
                    </w:r>
                    <w:proofErr w:type="spellStart"/>
                    <w:r>
                      <w:rPr>
                        <w:sz w:val="18"/>
                      </w:rPr>
                      <w:t>Inf</w:t>
                    </w:r>
                    <w:proofErr w:type="spellEnd"/>
                    <w:r>
                      <w:rPr>
                        <w:sz w:val="18"/>
                      </w:rPr>
                      <w:t>(2020)11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4D7EBB" wp14:editId="3C039DFB">
              <wp:simplePos x="0" y="0"/>
              <wp:positionH relativeFrom="page">
                <wp:posOffset>3492500</wp:posOffset>
              </wp:positionH>
              <wp:positionV relativeFrom="page">
                <wp:posOffset>447675</wp:posOffset>
              </wp:positionV>
              <wp:extent cx="114935" cy="15367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23823" w14:textId="77777777" w:rsidR="00103890" w:rsidRDefault="00103890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771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D7E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5pt;margin-top:35.25pt;width:9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" filled="f" stroked="f">
              <v:textbox inset="0,0,0,0">
                <w:txbxContent>
                  <w:p w14:paraId="2CA23823" w14:textId="77777777" w:rsidR="00103890" w:rsidRDefault="00103890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771">
                      <w:rPr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F238" w14:textId="77777777" w:rsidR="00103890" w:rsidRDefault="00103890">
    <w:pPr>
      <w:pStyle w:val="BodyText"/>
      <w:spacing w:line="14" w:lineRule="auto"/>
      <w:rPr>
        <w:sz w:val="20"/>
      </w:rPr>
    </w:pP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07C0C" wp14:editId="6633DEB4">
              <wp:simplePos x="0" y="0"/>
              <wp:positionH relativeFrom="page">
                <wp:posOffset>3492500</wp:posOffset>
              </wp:positionH>
              <wp:positionV relativeFrom="page">
                <wp:posOffset>447675</wp:posOffset>
              </wp:positionV>
              <wp:extent cx="114935" cy="153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3CA4B" w14:textId="77777777" w:rsidR="00103890" w:rsidRDefault="00103890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771">
                            <w:rPr>
                              <w:noProof/>
                              <w:w w:val="99"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7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5pt;margin-top:35.25pt;width:9.05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" filled="f" stroked="f">
              <v:textbox inset="0,0,0,0">
                <w:txbxContent>
                  <w:p w14:paraId="36E3CA4B" w14:textId="77777777" w:rsidR="00103890" w:rsidRDefault="00103890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771">
                      <w:rPr>
                        <w:noProof/>
                        <w:w w:val="99"/>
                        <w:sz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F39374" wp14:editId="116CB0D8">
              <wp:simplePos x="0" y="0"/>
              <wp:positionH relativeFrom="page">
                <wp:posOffset>5622290</wp:posOffset>
              </wp:positionH>
              <wp:positionV relativeFrom="page">
                <wp:posOffset>447675</wp:posOffset>
              </wp:positionV>
              <wp:extent cx="809625" cy="15367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5DCC1" w14:textId="77777777" w:rsidR="00103890" w:rsidRDefault="0010389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SG/Inf(2020)11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F39374" id="Text Box 1" o:spid="_x0000_s1029" type="#_x0000_t202" style="position:absolute;margin-left:442.7pt;margin-top:35.25pt;width:63.7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" filled="f" stroked="f">
              <v:textbox inset="0,0,0,0">
                <w:txbxContent>
                  <w:p w14:paraId="0055DCC1" w14:textId="77777777" w:rsidR="00103890" w:rsidRDefault="0010389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SG/</w:t>
                    </w:r>
                    <w:proofErr w:type="spellStart"/>
                    <w:r>
                      <w:rPr>
                        <w:sz w:val="18"/>
                      </w:rPr>
                      <w:t>Inf</w:t>
                    </w:r>
                    <w:proofErr w:type="spellEnd"/>
                    <w:r>
                      <w:rPr>
                        <w:sz w:val="18"/>
                      </w:rPr>
                      <w:t>(2020)11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16FE"/>
    <w:multiLevelType w:val="multilevel"/>
    <w:tmpl w:val="006EB4B0"/>
    <w:lvl w:ilvl="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98" w:hanging="720"/>
      </w:pPr>
      <w:rPr>
        <w:rFonts w:ascii="Arial" w:eastAsia="Arial" w:hAnsi="Arial" w:cs="Arial" w:hint="default"/>
        <w:b/>
        <w:bCs/>
        <w:i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00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2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6"/>
    <w:rsid w:val="00017C59"/>
    <w:rsid w:val="000309E6"/>
    <w:rsid w:val="0004641D"/>
    <w:rsid w:val="00047EA6"/>
    <w:rsid w:val="00061478"/>
    <w:rsid w:val="00071D76"/>
    <w:rsid w:val="00094AA8"/>
    <w:rsid w:val="000B0227"/>
    <w:rsid w:val="000B0B98"/>
    <w:rsid w:val="000C5CFE"/>
    <w:rsid w:val="00103890"/>
    <w:rsid w:val="0010396D"/>
    <w:rsid w:val="00114900"/>
    <w:rsid w:val="00121184"/>
    <w:rsid w:val="00121937"/>
    <w:rsid w:val="0012473A"/>
    <w:rsid w:val="00131C7D"/>
    <w:rsid w:val="00152094"/>
    <w:rsid w:val="00157096"/>
    <w:rsid w:val="00160135"/>
    <w:rsid w:val="00163329"/>
    <w:rsid w:val="00174A6D"/>
    <w:rsid w:val="00186AC0"/>
    <w:rsid w:val="001A0542"/>
    <w:rsid w:val="001A304B"/>
    <w:rsid w:val="001B0D72"/>
    <w:rsid w:val="001B161A"/>
    <w:rsid w:val="001B1751"/>
    <w:rsid w:val="001B1EB9"/>
    <w:rsid w:val="001E4DA7"/>
    <w:rsid w:val="001E63D7"/>
    <w:rsid w:val="001F6506"/>
    <w:rsid w:val="001F761E"/>
    <w:rsid w:val="002039F3"/>
    <w:rsid w:val="002068B6"/>
    <w:rsid w:val="002319A9"/>
    <w:rsid w:val="00253263"/>
    <w:rsid w:val="00265F78"/>
    <w:rsid w:val="00276050"/>
    <w:rsid w:val="00285C66"/>
    <w:rsid w:val="0029480A"/>
    <w:rsid w:val="00295F85"/>
    <w:rsid w:val="002A7B18"/>
    <w:rsid w:val="002D63B6"/>
    <w:rsid w:val="00302636"/>
    <w:rsid w:val="003046D3"/>
    <w:rsid w:val="00305E5A"/>
    <w:rsid w:val="003109A1"/>
    <w:rsid w:val="00314544"/>
    <w:rsid w:val="003347F1"/>
    <w:rsid w:val="0033774D"/>
    <w:rsid w:val="00350BEC"/>
    <w:rsid w:val="00350E1D"/>
    <w:rsid w:val="00380F58"/>
    <w:rsid w:val="00387B35"/>
    <w:rsid w:val="003A62E3"/>
    <w:rsid w:val="003B5A9E"/>
    <w:rsid w:val="003B738A"/>
    <w:rsid w:val="00403D92"/>
    <w:rsid w:val="00404FD1"/>
    <w:rsid w:val="00406110"/>
    <w:rsid w:val="004859CD"/>
    <w:rsid w:val="00485AC6"/>
    <w:rsid w:val="004B68B6"/>
    <w:rsid w:val="004C044B"/>
    <w:rsid w:val="004D576E"/>
    <w:rsid w:val="004F1312"/>
    <w:rsid w:val="004F4013"/>
    <w:rsid w:val="00511431"/>
    <w:rsid w:val="00534EEC"/>
    <w:rsid w:val="00562771"/>
    <w:rsid w:val="005634B2"/>
    <w:rsid w:val="00564CD5"/>
    <w:rsid w:val="00565D02"/>
    <w:rsid w:val="0057465D"/>
    <w:rsid w:val="005A0EF3"/>
    <w:rsid w:val="005C0458"/>
    <w:rsid w:val="005C3AE4"/>
    <w:rsid w:val="005D651E"/>
    <w:rsid w:val="005D7D4E"/>
    <w:rsid w:val="005E2C6D"/>
    <w:rsid w:val="0061563C"/>
    <w:rsid w:val="00620A9D"/>
    <w:rsid w:val="006444DD"/>
    <w:rsid w:val="00665298"/>
    <w:rsid w:val="00680F7B"/>
    <w:rsid w:val="006B0E6E"/>
    <w:rsid w:val="006C693A"/>
    <w:rsid w:val="006D36BD"/>
    <w:rsid w:val="0070370F"/>
    <w:rsid w:val="0070455C"/>
    <w:rsid w:val="00710B65"/>
    <w:rsid w:val="00716896"/>
    <w:rsid w:val="007176CC"/>
    <w:rsid w:val="00720C0F"/>
    <w:rsid w:val="00752B10"/>
    <w:rsid w:val="00760CFB"/>
    <w:rsid w:val="00762E7B"/>
    <w:rsid w:val="0078700C"/>
    <w:rsid w:val="007974E2"/>
    <w:rsid w:val="007D11A3"/>
    <w:rsid w:val="007F2D96"/>
    <w:rsid w:val="00802B9D"/>
    <w:rsid w:val="00812F69"/>
    <w:rsid w:val="00820139"/>
    <w:rsid w:val="0083275F"/>
    <w:rsid w:val="00834C5B"/>
    <w:rsid w:val="00842165"/>
    <w:rsid w:val="00844359"/>
    <w:rsid w:val="00865C4F"/>
    <w:rsid w:val="0087452D"/>
    <w:rsid w:val="00875E60"/>
    <w:rsid w:val="00881785"/>
    <w:rsid w:val="00891ED9"/>
    <w:rsid w:val="008E5BD6"/>
    <w:rsid w:val="008F5130"/>
    <w:rsid w:val="00904435"/>
    <w:rsid w:val="009274AB"/>
    <w:rsid w:val="009318D7"/>
    <w:rsid w:val="009356E1"/>
    <w:rsid w:val="00951E37"/>
    <w:rsid w:val="00953926"/>
    <w:rsid w:val="00972820"/>
    <w:rsid w:val="009A21D0"/>
    <w:rsid w:val="009C31BF"/>
    <w:rsid w:val="009C4726"/>
    <w:rsid w:val="009C47AA"/>
    <w:rsid w:val="009C62BA"/>
    <w:rsid w:val="009C707D"/>
    <w:rsid w:val="009E7094"/>
    <w:rsid w:val="00A3456F"/>
    <w:rsid w:val="00A62A4D"/>
    <w:rsid w:val="00A827BB"/>
    <w:rsid w:val="00A836A4"/>
    <w:rsid w:val="00A84443"/>
    <w:rsid w:val="00A91E72"/>
    <w:rsid w:val="00AB337A"/>
    <w:rsid w:val="00AD487F"/>
    <w:rsid w:val="00AF56E5"/>
    <w:rsid w:val="00B15473"/>
    <w:rsid w:val="00B359A3"/>
    <w:rsid w:val="00B504D8"/>
    <w:rsid w:val="00B5364E"/>
    <w:rsid w:val="00B57ACF"/>
    <w:rsid w:val="00B64517"/>
    <w:rsid w:val="00B73F3C"/>
    <w:rsid w:val="00BA189B"/>
    <w:rsid w:val="00BC17AD"/>
    <w:rsid w:val="00BC2FA8"/>
    <w:rsid w:val="00BF57C3"/>
    <w:rsid w:val="00C13008"/>
    <w:rsid w:val="00C14BA7"/>
    <w:rsid w:val="00C261F2"/>
    <w:rsid w:val="00C34B76"/>
    <w:rsid w:val="00C71C5C"/>
    <w:rsid w:val="00C77302"/>
    <w:rsid w:val="00C80E07"/>
    <w:rsid w:val="00CA40F7"/>
    <w:rsid w:val="00CA57FA"/>
    <w:rsid w:val="00CB5511"/>
    <w:rsid w:val="00CE1497"/>
    <w:rsid w:val="00CE2868"/>
    <w:rsid w:val="00D0058C"/>
    <w:rsid w:val="00D17F84"/>
    <w:rsid w:val="00D21F07"/>
    <w:rsid w:val="00D22E63"/>
    <w:rsid w:val="00D41B37"/>
    <w:rsid w:val="00D51C1D"/>
    <w:rsid w:val="00D5225C"/>
    <w:rsid w:val="00D7100E"/>
    <w:rsid w:val="00D7203A"/>
    <w:rsid w:val="00D747E9"/>
    <w:rsid w:val="00D942F2"/>
    <w:rsid w:val="00DA6EF2"/>
    <w:rsid w:val="00DB0C5E"/>
    <w:rsid w:val="00DB6038"/>
    <w:rsid w:val="00DD0F7D"/>
    <w:rsid w:val="00E54599"/>
    <w:rsid w:val="00E66184"/>
    <w:rsid w:val="00EC5808"/>
    <w:rsid w:val="00EC5997"/>
    <w:rsid w:val="00EC6BC0"/>
    <w:rsid w:val="00ED01B0"/>
    <w:rsid w:val="00EE6F08"/>
    <w:rsid w:val="00EF169F"/>
    <w:rsid w:val="00EF6D9D"/>
    <w:rsid w:val="00F00E94"/>
    <w:rsid w:val="00F37EB2"/>
    <w:rsid w:val="00F52B63"/>
    <w:rsid w:val="00F71A41"/>
    <w:rsid w:val="00F73B47"/>
    <w:rsid w:val="00F86408"/>
    <w:rsid w:val="00FB117A"/>
    <w:rsid w:val="00FB236D"/>
    <w:rsid w:val="00FE1DD8"/>
    <w:rsid w:val="00FF0C1D"/>
    <w:rsid w:val="00FF25F7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75242"/>
  <w15:docId w15:val="{6E5C8ACF-78A5-4C1A-BC2B-30099860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11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38" w:hanging="36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198" w:hanging="72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C1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7AD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17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3C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D7D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D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80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0A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Default">
    <w:name w:val="Default"/>
    <w:rsid w:val="00DA6E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arch.coe.int/cm/Pages/result_details.aspx?ObjectId=09000016805c649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e.int/en/web/commissioner/-/covid-19-pandemic-urgent-steps-are-needed-to-protect-the-rights-of-prisoners-in-europ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coe.int/cm/Pages/result_details.aspx?ObjectId=09000016805c5ea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.coe.int/16809cff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e.int/fr/web/conventions/full-list/-/conventions/rms/0900001680084826" TargetMode="External"/><Relationship Id="rId10" Type="http://schemas.openxmlformats.org/officeDocument/2006/relationships/hyperlink" Target="https://www.coe.int/en/web/conventions/full-list/-/conventions/webContent/621113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e.int/en/web/conventions/full-list/-/conventions/treaty/164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issioner/thematic-work/covid-19/-/asset_publisher/5cdZW0AJBMLl/content/older-persons-need-more-support-than-ever-in-the-age-of-the-covid-19-pandemic?inheritRedirect=false&amp;amp;redirect=https%3A%2F%2Fwww.coe.int%2Fen%2Fweb%2Fcommissioner%2Fthematic-work%2Fcovid-19%3Fp_p_id%3D101_INSTANCE_5cdZW0AJBMLl%26p_p_lifecycle%3D0%26p_p_state%3Dnormal%26p_p_mode%3Dview%26p_p_col_id%3Dcolumn-1%26p_p_col_count%3D1" TargetMode="External"/><Relationship Id="rId13" Type="http://schemas.openxmlformats.org/officeDocument/2006/relationships/hyperlink" Target="https://search.coe.int/cm/Pages/result_details.aspx?ObjectId=09000016807c65bf" TargetMode="External"/><Relationship Id="rId18" Type="http://schemas.openxmlformats.org/officeDocument/2006/relationships/hyperlink" Target="https://rm.coe.int/covid-19-lc-statement-en-final/16809e17ae" TargetMode="External"/><Relationship Id="rId3" Type="http://schemas.openxmlformats.org/officeDocument/2006/relationships/hyperlink" Target="https://www.venice.coe.int/webforms/documents/?pdf=CDL-AD(2016)006-e" TargetMode="External"/><Relationship Id="rId7" Type="http://schemas.openxmlformats.org/officeDocument/2006/relationships/hyperlink" Target="file:///C:\Users\leskovac\AppData\Local\Microsoft\Windows\INetCache\Content.Outlook\DJBVE1WD\Turska%20&#8211;%20Mi&#353;ljenje%20o%20vanrednim%20zakonima%20br.%20667-676%20usvojenim%20nakon%20neuspelog%20vojnog%20udara%2015.%20jula%202016.,%20CDL-%20AD(2016)037,%20stav.%2041" TargetMode="External"/><Relationship Id="rId12" Type="http://schemas.openxmlformats.org/officeDocument/2006/relationships/hyperlink" Target="https://search.coe.int/cm/Pages/result_details.aspx?ObjectID=09000016805ae60e" TargetMode="External"/><Relationship Id="rId17" Type="http://schemas.openxmlformats.org/officeDocument/2006/relationships/hyperlink" Target="https://rm.coe.int/grevio-statement-covid-24-march-2020/pdfa/16809cf55e" TargetMode="External"/><Relationship Id="rId2" Type="http://schemas.openxmlformats.org/officeDocument/2006/relationships/hyperlink" Target="https://www.venice.coe.int/webforms/documents/?pdf=CDL-AD(2019)015-e" TargetMode="External"/><Relationship Id="rId16" Type="http://schemas.openxmlformats.org/officeDocument/2006/relationships/hyperlink" Target="https://www.coe.int/en/web/portal/-/covid-19-crisis-secretary-general-concerned-about-increased-risk-of-domestic-violence" TargetMode="External"/><Relationship Id="rId1" Type="http://schemas.openxmlformats.org/officeDocument/2006/relationships/hyperlink" Target="https://rm.coe.int/opinion-of-the-council-of-europe-commissioner-for-human-rights-alvaro-/16806da6c9" TargetMode="External"/><Relationship Id="rId6" Type="http://schemas.openxmlformats.org/officeDocument/2006/relationships/hyperlink" Target="https://www.venice.coe.int/webforms/documents/default.aspx?pdffile=CDL-AD(2016)037-e" TargetMode="External"/><Relationship Id="rId11" Type="http://schemas.openxmlformats.org/officeDocument/2006/relationships/hyperlink" Target="https://www.bbc.com/news/world-asia-china-51403795" TargetMode="External"/><Relationship Id="rId5" Type="http://schemas.openxmlformats.org/officeDocument/2006/relationships/hyperlink" Target="https://www.venice.coe.int/webforms/documents/?pdf=CDL-AD(2019)015-e" TargetMode="External"/><Relationship Id="rId15" Type="http://schemas.openxmlformats.org/officeDocument/2006/relationships/hyperlink" Target="https://www.coe.int/en/web/portal/-/covid-19-crisis-secretary-general-concerned-about-increased-risk-of-domestic-violence" TargetMode="External"/><Relationship Id="rId10" Type="http://schemas.openxmlformats.org/officeDocument/2006/relationships/hyperlink" Target="https://search.coe.int/cm/Pages/result_details.aspx?ObjectID=09000016805ae60e" TargetMode="External"/><Relationship Id="rId19" Type="http://schemas.openxmlformats.org/officeDocument/2006/relationships/hyperlink" Target="https://www.coe.int/en/web/medicrime/home" TargetMode="External"/><Relationship Id="rId4" Type="http://schemas.openxmlformats.org/officeDocument/2006/relationships/hyperlink" Target="https://www.coe.int/t/dc/files/Ministerial_Conferences/2009_justice/CM%20170_en.pdf" TargetMode="External"/><Relationship Id="rId9" Type="http://schemas.openxmlformats.org/officeDocument/2006/relationships/hyperlink" Target="https://www.coe.int/en/web/commissioner/thematic-work/covid-19/-/asset_publisher/5cdZW0AJBMLl/content/persons-with-disabilities-must-not-be-left-behind-in-the-response-to-the-covid-19-pandemic?inheritRedirect=false&amp;redirect=https%3A%2F%2Fwww.coe.int%2Fen%2Fweb%2Fcommissioner%2Fthematic-work%2Fcovid-19%3Fp_p_id%3D101_INSTANCE_5cdZW0AJBMLl%26p_p_lifecycle%3D0%26p_p_state%3Dnormal%26p_p_mode%3Dview%26p_p_col_id%3Dcolumn-1%26p_p_col_count%3D1" TargetMode="External"/><Relationship Id="rId14" Type="http://schemas.openxmlformats.org/officeDocument/2006/relationships/hyperlink" Target="https://rm.coe.int/CoERMPublicCommonSearchServices/DisplayDCTMContent?documentId=090000168046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AACB-3F9B-4713-8BAB-63DF22B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 Inf(2020)7 Speaking Notes SG 1370 Deputies</vt:lpstr>
    </vt:vector>
  </TitlesOfParts>
  <Company/>
  <LinksUpToDate>false</LinksUpToDate>
  <CharactersWithSpaces>29770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Inf(2020)7 Speaking Notes SG 1370 Deputies</dc:title>
  <dc:creator>Karen.CAFFREY@coe.int</dc:creator>
  <cp:lastModifiedBy>Yoga</cp:lastModifiedBy>
  <cp:revision>3</cp:revision>
  <cp:lastPrinted>2020-04-13T08:22:00Z</cp:lastPrinted>
  <dcterms:created xsi:type="dcterms:W3CDTF">2020-04-16T08:58:00Z</dcterms:created>
  <dcterms:modified xsi:type="dcterms:W3CDTF">2020-04-16T08:58:00Z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2020-04-08T00:00:00Z</vt:filetime>
  </property>
</Properties>
</file>